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ED" w:rsidRDefault="00C6769D">
      <w:pPr>
        <w:ind w:right="1644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č. j.:                            </w:t>
      </w:r>
    </w:p>
    <w:p w:rsidR="00AB44ED" w:rsidRDefault="00AB44ED">
      <w:pPr>
        <w:ind w:right="1644"/>
        <w:jc w:val="right"/>
        <w:rPr>
          <w:rFonts w:ascii="Arial" w:eastAsia="Arial" w:hAnsi="Arial" w:cs="Arial"/>
          <w:b/>
          <w:sz w:val="22"/>
          <w:szCs w:val="22"/>
        </w:rPr>
      </w:pPr>
    </w:p>
    <w:p w:rsidR="00AB44ED" w:rsidRDefault="00C6769D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Smlouva o poskytnutí inovačního voucheru v Podprogramu I.</w:t>
      </w:r>
    </w:p>
    <w:p w:rsidR="00AB44ED" w:rsidRDefault="00C6769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uzavřená podle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§ 1746 odst. 2 zákona č. 89/2012 Sb., občanský zákoník</w:t>
      </w:r>
    </w:p>
    <w:p w:rsidR="00AB44ED" w:rsidRDefault="00AB44ED">
      <w:pPr>
        <w:jc w:val="center"/>
        <w:rPr>
          <w:rFonts w:ascii="Arial" w:eastAsia="Arial" w:hAnsi="Arial" w:cs="Arial"/>
          <w:sz w:val="22"/>
          <w:szCs w:val="22"/>
        </w:rPr>
      </w:pPr>
    </w:p>
    <w:p w:rsidR="00AB44ED" w:rsidRDefault="00AB44E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AB44ED" w:rsidRDefault="00C6769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strany:</w:t>
      </w:r>
    </w:p>
    <w:p w:rsidR="00AB44ED" w:rsidRDefault="00AB44ED">
      <w:pPr>
        <w:jc w:val="center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Středočeské inovační centrum, spolek</w:t>
      </w:r>
    </w:p>
    <w:p w:rsidR="00AB44ED" w:rsidRDefault="00C676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 Zborovská 81/11, Praha 5</w:t>
      </w:r>
    </w:p>
    <w:p w:rsidR="00AB44ED" w:rsidRDefault="00C676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zastoupený: </w:t>
      </w:r>
      <w:r w:rsidR="005F6AE4">
        <w:rPr>
          <w:rFonts w:ascii="Arial" w:eastAsia="Arial" w:hAnsi="Arial" w:cs="Arial"/>
          <w:sz w:val="22"/>
          <w:szCs w:val="22"/>
        </w:rPr>
        <w:t xml:space="preserve">Ing. Marek </w:t>
      </w:r>
      <w:proofErr w:type="spellStart"/>
      <w:r w:rsidR="005F6AE4">
        <w:rPr>
          <w:rFonts w:ascii="Arial" w:eastAsia="Arial" w:hAnsi="Arial" w:cs="Arial"/>
          <w:sz w:val="22"/>
          <w:szCs w:val="22"/>
        </w:rPr>
        <w:t>Špok</w:t>
      </w:r>
      <w:proofErr w:type="spellEnd"/>
      <w:r w:rsidR="005F6AE4">
        <w:rPr>
          <w:rFonts w:ascii="Arial" w:eastAsia="Arial" w:hAnsi="Arial" w:cs="Arial"/>
          <w:sz w:val="22"/>
          <w:szCs w:val="22"/>
        </w:rPr>
        <w:t>, Ph.D.</w:t>
      </w:r>
      <w:r>
        <w:rPr>
          <w:rFonts w:ascii="Arial" w:eastAsia="Arial" w:hAnsi="Arial" w:cs="Arial"/>
          <w:sz w:val="22"/>
          <w:szCs w:val="22"/>
        </w:rPr>
        <w:t>, statutární ředitel</w:t>
      </w:r>
    </w:p>
    <w:p w:rsidR="00AB44ED" w:rsidRDefault="00C676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042 28 235</w:t>
      </w:r>
    </w:p>
    <w:p w:rsidR="00AB44ED" w:rsidRDefault="00C676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bankovního účtu: 2021390000/6000, PPF banka</w:t>
      </w:r>
    </w:p>
    <w:p w:rsidR="00AB44ED" w:rsidRDefault="00C676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(dále </w:t>
      </w:r>
      <w:r>
        <w:rPr>
          <w:rFonts w:ascii="Arial" w:eastAsia="Arial" w:hAnsi="Arial" w:cs="Arial"/>
          <w:i/>
          <w:sz w:val="22"/>
          <w:szCs w:val="22"/>
        </w:rPr>
        <w:t>Poskytovatel dotace</w:t>
      </w:r>
      <w:r>
        <w:rPr>
          <w:rFonts w:ascii="Arial" w:eastAsia="Arial" w:hAnsi="Arial" w:cs="Arial"/>
          <w:sz w:val="22"/>
          <w:szCs w:val="22"/>
        </w:rPr>
        <w:t>)</w:t>
      </w:r>
    </w:p>
    <w:p w:rsidR="00AB44ED" w:rsidRDefault="00AB44ED">
      <w:pPr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</w:t>
      </w:r>
    </w:p>
    <w:p w:rsidR="00AB44ED" w:rsidRDefault="00AB44ED">
      <w:pPr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</w:p>
    <w:p w:rsidR="00AB44ED" w:rsidRDefault="00C6769D">
      <w:pPr>
        <w:rPr>
          <w:rFonts w:ascii="Arial" w:eastAsia="Arial" w:hAnsi="Arial" w:cs="Arial"/>
          <w:b/>
          <w:sz w:val="22"/>
          <w:szCs w:val="22"/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XXXXXXXXX</w:t>
      </w:r>
    </w:p>
    <w:p w:rsidR="00AB44ED" w:rsidRDefault="00C6769D">
      <w:pPr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  <w:highlight w:val="yellow"/>
        </w:rPr>
        <w:t>XXXXXXXXXXX</w:t>
      </w:r>
    </w:p>
    <w:p w:rsidR="00AB44ED" w:rsidRDefault="00C6769D">
      <w:pPr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 xml:space="preserve">zastoupený/á: </w:t>
      </w:r>
      <w:r>
        <w:rPr>
          <w:rFonts w:ascii="Arial" w:eastAsia="Arial" w:hAnsi="Arial" w:cs="Arial"/>
          <w:sz w:val="22"/>
          <w:szCs w:val="22"/>
          <w:highlight w:val="yellow"/>
        </w:rPr>
        <w:t>XXXXXXXX</w:t>
      </w:r>
    </w:p>
    <w:p w:rsidR="00AB44ED" w:rsidRDefault="00C6769D">
      <w:pPr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 xml:space="preserve">IČO: </w:t>
      </w:r>
      <w:r>
        <w:rPr>
          <w:rFonts w:ascii="Arial" w:eastAsia="Arial" w:hAnsi="Arial" w:cs="Arial"/>
          <w:sz w:val="22"/>
          <w:szCs w:val="22"/>
          <w:highlight w:val="yellow"/>
        </w:rPr>
        <w:t>XXX XX XXX</w:t>
      </w:r>
    </w:p>
    <w:p w:rsidR="00AB44ED" w:rsidRDefault="00C6769D">
      <w:pPr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 xml:space="preserve">bankovní účet: </w:t>
      </w:r>
      <w:r>
        <w:rPr>
          <w:rFonts w:ascii="Arial" w:eastAsia="Arial" w:hAnsi="Arial" w:cs="Arial"/>
          <w:sz w:val="22"/>
          <w:szCs w:val="22"/>
          <w:highlight w:val="yellow"/>
        </w:rPr>
        <w:t>…………………….</w:t>
      </w:r>
    </w:p>
    <w:p w:rsidR="00AB44ED" w:rsidRDefault="00C676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společnost </w:t>
      </w:r>
      <w:r>
        <w:rPr>
          <w:rFonts w:ascii="Arial" w:eastAsia="Arial" w:hAnsi="Arial" w:cs="Arial"/>
          <w:sz w:val="22"/>
          <w:szCs w:val="22"/>
          <w:highlight w:val="yellow"/>
        </w:rPr>
        <w:t>je/není</w:t>
      </w:r>
      <w:r>
        <w:rPr>
          <w:rFonts w:ascii="Arial" w:eastAsia="Arial" w:hAnsi="Arial" w:cs="Arial"/>
          <w:sz w:val="22"/>
          <w:szCs w:val="22"/>
        </w:rPr>
        <w:t xml:space="preserve"> plátcem DPH</w:t>
      </w:r>
    </w:p>
    <w:p w:rsidR="00AB44ED" w:rsidRDefault="00C676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(dále </w:t>
      </w:r>
      <w:r>
        <w:rPr>
          <w:rFonts w:ascii="Arial" w:eastAsia="Arial" w:hAnsi="Arial" w:cs="Arial"/>
          <w:i/>
          <w:sz w:val="22"/>
          <w:szCs w:val="22"/>
        </w:rPr>
        <w:t>Příjemce</w:t>
      </w:r>
      <w:r>
        <w:rPr>
          <w:rFonts w:ascii="Arial" w:eastAsia="Arial" w:hAnsi="Arial" w:cs="Arial"/>
          <w:sz w:val="22"/>
          <w:szCs w:val="22"/>
        </w:rPr>
        <w:t>)</w:t>
      </w:r>
    </w:p>
    <w:p w:rsidR="00AB44ED" w:rsidRDefault="00AB44ED">
      <w:pPr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spolu uzavřely na základě vyhlášené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Výzvy k předkládání žádostí o dotaci v programu Středočeské inovační vouchery, Podprogramu I. (dále </w:t>
      </w:r>
      <w:r>
        <w:rPr>
          <w:rFonts w:ascii="Arial" w:eastAsia="Arial" w:hAnsi="Arial" w:cs="Arial"/>
          <w:i/>
          <w:sz w:val="22"/>
          <w:szCs w:val="22"/>
          <w:highlight w:val="white"/>
        </w:rPr>
        <w:t>Výzva</w:t>
      </w:r>
      <w:r>
        <w:rPr>
          <w:rFonts w:ascii="Arial" w:eastAsia="Arial" w:hAnsi="Arial" w:cs="Arial"/>
          <w:sz w:val="22"/>
          <w:szCs w:val="22"/>
          <w:highlight w:val="white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programu Středočeské inovační vouchery,</w:t>
      </w:r>
      <w:r>
        <w:rPr>
          <w:rFonts w:ascii="Arial" w:eastAsia="Arial" w:hAnsi="Arial" w:cs="Arial"/>
          <w:sz w:val="22"/>
          <w:szCs w:val="22"/>
        </w:rPr>
        <w:t xml:space="preserve"> Podprogramu I., a předložené žádosti Příjemcem tuto Smlouvu o poskytnutí inovačního voucheru (dále </w:t>
      </w:r>
      <w:r>
        <w:rPr>
          <w:rFonts w:ascii="Arial" w:eastAsia="Arial" w:hAnsi="Arial" w:cs="Arial"/>
          <w:i/>
          <w:sz w:val="22"/>
          <w:szCs w:val="22"/>
        </w:rPr>
        <w:t>Smlouva</w:t>
      </w:r>
      <w:r>
        <w:rPr>
          <w:rFonts w:ascii="Arial" w:eastAsia="Arial" w:hAnsi="Arial" w:cs="Arial"/>
          <w:sz w:val="22"/>
          <w:szCs w:val="22"/>
        </w:rPr>
        <w:t>):</w:t>
      </w:r>
    </w:p>
    <w:p w:rsidR="00AB44ED" w:rsidRDefault="00AB44ED">
      <w:pPr>
        <w:rPr>
          <w:rFonts w:ascii="Arial" w:eastAsia="Arial" w:hAnsi="Arial" w:cs="Arial"/>
          <w:sz w:val="20"/>
          <w:szCs w:val="20"/>
        </w:rPr>
      </w:pPr>
    </w:p>
    <w:p w:rsidR="00AB44ED" w:rsidRDefault="00AB44ED">
      <w:pPr>
        <w:rPr>
          <w:rFonts w:ascii="Arial" w:eastAsia="Arial" w:hAnsi="Arial" w:cs="Arial"/>
          <w:sz w:val="20"/>
          <w:szCs w:val="20"/>
        </w:rPr>
      </w:pPr>
    </w:p>
    <w:p w:rsidR="00AB44ED" w:rsidRDefault="00AB44ED">
      <w:pPr>
        <w:rPr>
          <w:rFonts w:ascii="Arial" w:eastAsia="Arial" w:hAnsi="Arial" w:cs="Arial"/>
          <w:sz w:val="20"/>
          <w:szCs w:val="20"/>
        </w:rPr>
      </w:pP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Předmět Smlouvy</w:t>
      </w:r>
    </w:p>
    <w:p w:rsidR="00AB44ED" w:rsidRDefault="00AB44E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AB44ED" w:rsidRDefault="00C6769D">
      <w:pPr>
        <w:numPr>
          <w:ilvl w:val="0"/>
          <w:numId w:val="4"/>
        </w:numPr>
        <w:spacing w:before="120" w:line="276" w:lineRule="auto"/>
        <w:ind w:left="425" w:hanging="425"/>
        <w:jc w:val="both"/>
        <w:rPr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Tato Smlouva je uzavírána na refundaci nákladů na služby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VaV</w:t>
      </w:r>
      <w:proofErr w:type="spellEnd"/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yellow"/>
        </w:rPr>
        <w:t>....</w:t>
      </w:r>
      <w:proofErr w:type="gramEnd"/>
      <w:r>
        <w:rPr>
          <w:rFonts w:ascii="Arial" w:eastAsia="Arial" w:hAnsi="Arial" w:cs="Arial"/>
          <w:i/>
          <w:sz w:val="22"/>
          <w:szCs w:val="22"/>
          <w:highlight w:val="yellow"/>
        </w:rPr>
        <w:t>název...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dle této Smlouvy na základě a v souladu s Výzvou a Žádostí o poskytnutí inovačního voucheru, uvedené v příloze Smlouvy. Obě smluvní strany souhlasí, že v případě rozporu mezi ustanovením této Smlouvy a Výzvy, mají přednost ustanovení této Smlouvy.</w:t>
      </w:r>
    </w:p>
    <w:p w:rsidR="00AB44ED" w:rsidRDefault="00C6769D">
      <w:pPr>
        <w:numPr>
          <w:ilvl w:val="0"/>
          <w:numId w:val="4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</w:t>
      </w:r>
      <w:r>
        <w:rPr>
          <w:rFonts w:ascii="Arial" w:eastAsia="Arial" w:hAnsi="Arial" w:cs="Arial"/>
          <w:sz w:val="22"/>
          <w:szCs w:val="22"/>
        </w:rPr>
        <w:t xml:space="preserve">vatel dotace poskytne Příjemci částku ve výši maximálně </w:t>
      </w:r>
      <w:r>
        <w:rPr>
          <w:rFonts w:ascii="Arial" w:eastAsia="Arial" w:hAnsi="Arial" w:cs="Arial"/>
          <w:sz w:val="22"/>
          <w:szCs w:val="22"/>
          <w:highlight w:val="yellow"/>
        </w:rPr>
        <w:t>…………</w:t>
      </w:r>
      <w:proofErr w:type="gramStart"/>
      <w:r>
        <w:rPr>
          <w:rFonts w:ascii="Arial" w:eastAsia="Arial" w:hAnsi="Arial" w:cs="Arial"/>
          <w:sz w:val="22"/>
          <w:szCs w:val="22"/>
          <w:highlight w:val="yellow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  <w:highlight w:val="yellow"/>
        </w:rPr>
        <w:t>. Kč (slovy: ………)</w:t>
      </w:r>
      <w:r>
        <w:rPr>
          <w:rFonts w:ascii="Arial" w:eastAsia="Arial" w:hAnsi="Arial" w:cs="Arial"/>
          <w:sz w:val="22"/>
          <w:szCs w:val="22"/>
        </w:rPr>
        <w:t xml:space="preserve"> při dodržení všech podmínek sjednaných v této Smlouvě a jejích přílohách. V odůvodněných případech může Poskytovatel dotace rozhodnout, že výše dotace bude snížena, nebo nebud</w:t>
      </w:r>
      <w:r>
        <w:rPr>
          <w:rFonts w:ascii="Arial" w:eastAsia="Arial" w:hAnsi="Arial" w:cs="Arial"/>
          <w:sz w:val="22"/>
          <w:szCs w:val="22"/>
        </w:rPr>
        <w:t xml:space="preserve">e Příjemci poskytnuta bez ohledu na to, zda Příjemce podmínky dle této Smlouvy a jejích příloh splnil, či nikoliv. Dotace je poskytována z rozpočtu Středočeského inovačního centra, spolku na program Středočeské inovační vouchery. Dotace slouží výhradně na </w:t>
      </w:r>
      <w:r>
        <w:rPr>
          <w:rFonts w:ascii="Arial" w:eastAsia="Arial" w:hAnsi="Arial" w:cs="Arial"/>
          <w:sz w:val="22"/>
          <w:szCs w:val="22"/>
        </w:rPr>
        <w:t xml:space="preserve">refundaci ceny poskytnutí inovačních služeb podle Smlouvy o poskytnutí inovačních služeb, uzavřené mezi Příjemcem a Poskytovatelem služeb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Dotace může být použita k úhradě daně z přidané hodnoty vyúčtované k této ceně pouze v případě, že Příjemce není </w:t>
      </w:r>
      <w:r>
        <w:rPr>
          <w:rFonts w:ascii="Arial" w:eastAsia="Arial" w:hAnsi="Arial" w:cs="Arial"/>
          <w:sz w:val="22"/>
          <w:szCs w:val="22"/>
        </w:rPr>
        <w:t>plátcem této daně.</w:t>
      </w:r>
    </w:p>
    <w:p w:rsidR="00AB44ED" w:rsidRDefault="00C6769D">
      <w:pPr>
        <w:numPr>
          <w:ilvl w:val="0"/>
          <w:numId w:val="4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Podrobný popis způsobu užití dotace je definován ve Výzvě a v Žádosti o poskytnutí inovačního voucheru v Podprogramu I., které jsou nedílnou součástí této Smlouvy.</w:t>
      </w:r>
    </w:p>
    <w:p w:rsidR="00AB44ED" w:rsidRDefault="00C6769D">
      <w:pPr>
        <w:numPr>
          <w:ilvl w:val="0"/>
          <w:numId w:val="4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Dotace, která je Příjemci poskytnuta, je ve smyslu zákona č. 320/2001 Sb.</w:t>
      </w:r>
      <w:r>
        <w:rPr>
          <w:rFonts w:ascii="Arial" w:eastAsia="Arial" w:hAnsi="Arial" w:cs="Arial"/>
          <w:sz w:val="22"/>
          <w:szCs w:val="22"/>
        </w:rPr>
        <w:t>, o finanční kontrole ve veřejné správě a o změně některých zákonů (zákon o finanční kontrole), ve znění pozdějších předpisů, veřejnou finanční podporou a vztahují se na ni všechna ustanovení tohoto zákona a zákona č. 215/2004 Sb., o úpravě některých vztah</w:t>
      </w:r>
      <w:r>
        <w:rPr>
          <w:rFonts w:ascii="Arial" w:eastAsia="Arial" w:hAnsi="Arial" w:cs="Arial"/>
          <w:sz w:val="22"/>
          <w:szCs w:val="22"/>
        </w:rPr>
        <w:t>ů v oblasti veřejné podpory a o změně zákona o podpoře výzkumu a vývoje, ve znění pozdějších předpisů.</w:t>
      </w:r>
    </w:p>
    <w:p w:rsidR="00AB44ED" w:rsidRDefault="00C6769D">
      <w:pPr>
        <w:numPr>
          <w:ilvl w:val="0"/>
          <w:numId w:val="4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Podpora poskytnutá na základě této Smlouvy je poskytována v souladu s nařízením Komise (EU) č. 1407/2013 ze dne 18. prosince 2013 o použití článků 107 a </w:t>
      </w:r>
      <w:r>
        <w:rPr>
          <w:rFonts w:ascii="Arial" w:eastAsia="Arial" w:hAnsi="Arial" w:cs="Arial"/>
          <w:sz w:val="22"/>
          <w:szCs w:val="22"/>
        </w:rPr>
        <w:t xml:space="preserve">108 Smlouvy o fungování Evropské unie na podporu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Úř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věst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L 352, 24. 12. 2013) (dále </w:t>
      </w:r>
      <w:r>
        <w:rPr>
          <w:rFonts w:ascii="Arial" w:eastAsia="Arial" w:hAnsi="Arial" w:cs="Arial"/>
          <w:i/>
          <w:sz w:val="22"/>
          <w:szCs w:val="22"/>
        </w:rPr>
        <w:t>Nařízení</w:t>
      </w:r>
      <w:r>
        <w:rPr>
          <w:rFonts w:ascii="Arial" w:eastAsia="Arial" w:hAnsi="Arial" w:cs="Arial"/>
          <w:sz w:val="22"/>
          <w:szCs w:val="22"/>
        </w:rPr>
        <w:t>).</w:t>
      </w:r>
    </w:p>
    <w:p w:rsidR="00AB44ED" w:rsidRDefault="00AB44E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AB44ED" w:rsidRDefault="00AB44ED">
      <w:pPr>
        <w:jc w:val="center"/>
        <w:rPr>
          <w:rFonts w:ascii="Arial" w:eastAsia="Arial" w:hAnsi="Arial" w:cs="Arial"/>
          <w:b/>
        </w:rPr>
      </w:pP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</w:t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Vymezení základních pojmů</w:t>
      </w:r>
    </w:p>
    <w:p w:rsidR="00AB44ED" w:rsidRDefault="00C6769D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účely Smlouvy se rozumí:</w:t>
      </w:r>
    </w:p>
    <w:p w:rsidR="00AB44ED" w:rsidRDefault="00C676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“Poskytovatelem služby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” </w:t>
      </w:r>
      <w:r>
        <w:rPr>
          <w:rFonts w:ascii="Arial" w:eastAsia="Arial" w:hAnsi="Arial" w:cs="Arial"/>
          <w:color w:val="000000"/>
          <w:sz w:val="22"/>
          <w:szCs w:val="22"/>
        </w:rPr>
        <w:t>výzkumné organizace, které mají sídlo v České republice, jež jsou uvedeny v seznamu výzkumných organizací dle §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33a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zákona č. 130/2002 Sb., zákona o podpoře výzkumu, experimentálního vývoje a inovací, v platném znění, a splňují definici organizace výzkum a </w:t>
      </w:r>
      <w:r>
        <w:rPr>
          <w:rFonts w:ascii="Arial" w:eastAsia="Arial" w:hAnsi="Arial" w:cs="Arial"/>
          <w:color w:val="000000"/>
          <w:sz w:val="22"/>
          <w:szCs w:val="22"/>
        </w:rPr>
        <w:t>šíření znalostí dle čl. 2, bodu 83 Nařízení Komise (EU) 651/2014 ze dne 17. června 2014, kterým se v souladu s články 107 a 108 Smlouvy prohlašují určité kategorie podpory za slučitelné s vnitřním trhem.),</w:t>
      </w:r>
    </w:p>
    <w:p w:rsidR="00AB44ED" w:rsidRDefault="00C676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“Příjemcem” </w:t>
      </w:r>
      <w:r>
        <w:rPr>
          <w:rFonts w:ascii="Arial" w:eastAsia="Arial" w:hAnsi="Arial" w:cs="Arial"/>
          <w:color w:val="000000"/>
          <w:sz w:val="22"/>
          <w:szCs w:val="22"/>
        </w:rPr>
        <w:t>Žadatel, který musí být k datu podání Žádosti o inovační voucher podnikající fyzická nebo právnická osoba, jejíž počet zaměstnanců je menší než 250, částka ročního obratu nepřesahuje 50 mil. eur nebo částka rozvahy nepřesahuje 43 mil. eur)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 který je regis</w:t>
      </w:r>
      <w:r>
        <w:rPr>
          <w:rFonts w:ascii="Arial" w:eastAsia="Arial" w:hAnsi="Arial" w:cs="Arial"/>
          <w:b/>
          <w:color w:val="000000"/>
          <w:sz w:val="22"/>
          <w:szCs w:val="22"/>
        </w:rPr>
        <w:t>trován nebo má provozovnu na území Středočeského kraje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 jehož prospěch bylo rozhodnuto o poskytnutí finanční podpory, a dále jak je specifikováno v této Smlouvě,</w:t>
      </w:r>
    </w:p>
    <w:p w:rsidR="00AB44ED" w:rsidRDefault="00C676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“Službou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aktivita navržená ze strany Poskytovatele služby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tak, aby pomohla dosáhno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ut vylepšení inovace Příjemce, jak je popsána v Nabídce poskytnutí služeb od poskytovatele služeb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 Podprogramu I., která je přílohou této Smlouvy.</w:t>
      </w:r>
    </w:p>
    <w:p w:rsidR="00AB44ED" w:rsidRDefault="00AB44ED">
      <w:pPr>
        <w:jc w:val="center"/>
        <w:rPr>
          <w:rFonts w:ascii="Arial" w:eastAsia="Arial" w:hAnsi="Arial" w:cs="Arial"/>
          <w:b/>
        </w:rPr>
      </w:pPr>
    </w:p>
    <w:p w:rsidR="00AB44ED" w:rsidRDefault="00C6769D">
      <w:pPr>
        <w:rPr>
          <w:rFonts w:ascii="Arial" w:eastAsia="Arial" w:hAnsi="Arial" w:cs="Arial"/>
          <w:b/>
        </w:rPr>
      </w:pPr>
      <w:r>
        <w:br w:type="page"/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III.</w:t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povinnosti Příjemce dotace</w:t>
      </w:r>
    </w:p>
    <w:p w:rsidR="00AB44ED" w:rsidRDefault="00AB44ED">
      <w:pPr>
        <w:jc w:val="center"/>
        <w:rPr>
          <w:rFonts w:ascii="Arial" w:eastAsia="Arial" w:hAnsi="Arial" w:cs="Arial"/>
          <w:b/>
        </w:rPr>
      </w:pPr>
    </w:p>
    <w:p w:rsidR="00AB44ED" w:rsidRDefault="00C6769D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Příjemce prohlašuje, že: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k datu uzavření této Smlouvy vyp</w:t>
      </w:r>
      <w:r>
        <w:rPr>
          <w:rFonts w:ascii="Arial" w:eastAsia="Arial" w:hAnsi="Arial" w:cs="Arial"/>
          <w:sz w:val="22"/>
          <w:szCs w:val="22"/>
        </w:rPr>
        <w:t>ořádány (uhrazeny) splatné závazky vůči orgánům veřejné správy, tzn. vůči orgánům státní správy a samosprávy (zejména nedoplatky na pojistném a na penále na veřejné zdravotní pojištění, na pojistném a penále na sociální zabezpečení a příspěvku na státní po</w:t>
      </w:r>
      <w:r>
        <w:rPr>
          <w:rFonts w:ascii="Arial" w:eastAsia="Arial" w:hAnsi="Arial" w:cs="Arial"/>
          <w:sz w:val="22"/>
          <w:szCs w:val="22"/>
        </w:rPr>
        <w:t>litiku zaměstnanosti),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případná dotace nebude použita na krytí stejných způsobilých nákladů financovaného zcela nebo zčásti z jiných veřejných dotačních titulů,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poskytnutá částka při podpisu této Smlouvy nepřekračuje limit 200.000 eur (slovy: </w:t>
      </w:r>
      <w:proofErr w:type="spellStart"/>
      <w:r>
        <w:rPr>
          <w:rFonts w:ascii="Arial" w:eastAsia="Arial" w:hAnsi="Arial" w:cs="Arial"/>
          <w:sz w:val="22"/>
          <w:szCs w:val="22"/>
        </w:rPr>
        <w:t>dvěstětisíc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 xml:space="preserve">ur) nebo jeho ekvivalent v Kč, a to ani v součtu se všemi dalšími podporami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>, které Příjemce v předchozích dvou fiskálních letech a v současném fiskálním roce obdržel. V případě, že Příjemce poskytuje služby obecného hospodářského zájmu, nepřekra</w:t>
      </w:r>
      <w:r>
        <w:rPr>
          <w:rFonts w:ascii="Arial" w:eastAsia="Arial" w:hAnsi="Arial" w:cs="Arial"/>
          <w:sz w:val="22"/>
          <w:szCs w:val="22"/>
        </w:rPr>
        <w:t xml:space="preserve">čuje limit 500.000 eur (slovy: </w:t>
      </w:r>
      <w:proofErr w:type="spellStart"/>
      <w:r>
        <w:rPr>
          <w:rFonts w:ascii="Arial" w:eastAsia="Arial" w:hAnsi="Arial" w:cs="Arial"/>
          <w:sz w:val="22"/>
          <w:szCs w:val="22"/>
        </w:rPr>
        <w:t>pětsettisíc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eur) nebo jeho ekvivalent v Kč, a to ani v součtu se všemi dalšími podporami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>, které Příjemce v předchozích dvou fiskálních letech a v současném fiskálním roce obdržel.</w:t>
      </w:r>
    </w:p>
    <w:p w:rsidR="00AB44ED" w:rsidRDefault="00AB44ED">
      <w:pPr>
        <w:spacing w:before="12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Příjemce se zavazuje: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doručit ve </w:t>
      </w:r>
      <w:r>
        <w:rPr>
          <w:rFonts w:ascii="Arial" w:eastAsia="Arial" w:hAnsi="Arial" w:cs="Arial"/>
          <w:sz w:val="22"/>
          <w:szCs w:val="22"/>
        </w:rPr>
        <w:t xml:space="preserve">lhůtě 30 dnů od uzavření této Smlouvy Poskytovateli dotace kopii Smlouvy o poskytnutí služeb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Poskytovatelem služeb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>. Její obsah bude korespondovat s údaji uvedenými v Žádosti o poskytnutí inovačního voucheru v Podprogramu I. Nabídka poskytnutí slu</w:t>
      </w:r>
      <w:r>
        <w:rPr>
          <w:rFonts w:ascii="Arial" w:eastAsia="Arial" w:hAnsi="Arial" w:cs="Arial"/>
          <w:sz w:val="22"/>
          <w:szCs w:val="22"/>
        </w:rPr>
        <w:t xml:space="preserve">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povinnou přílohou Smlouvy. V případě zásadních změn v obsahu nebo ceně zakázky oproti Žádosti o poskytnutí inovačního voucheru v Podprogramu I. Příjemce neprodleně vyrozumí Poskytovatele dotace. Posouzení přípustnosti zásadních změn je plně v ko</w:t>
      </w:r>
      <w:r>
        <w:rPr>
          <w:rFonts w:ascii="Arial" w:eastAsia="Arial" w:hAnsi="Arial" w:cs="Arial"/>
          <w:sz w:val="22"/>
          <w:szCs w:val="22"/>
        </w:rPr>
        <w:t>mpetenci Poskytovatele dotace. V případě, že změna bude bránit využití dotace v souladu s jejím účelem, ztratí Příjemce možnost získat dotaci dle této Smlouvy,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zaplatit za realizaci zakázky Poskytovateli služeb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převzít její výsledky v souladu se smlouvou uzavřenou s Poskytovatelem služeb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nejpozději do 30 dnů od ukončení realizace služby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p</w:t>
      </w:r>
      <w:r>
        <w:rPr>
          <w:rFonts w:ascii="Arial" w:eastAsia="Arial" w:hAnsi="Arial" w:cs="Arial"/>
          <w:sz w:val="22"/>
          <w:szCs w:val="22"/>
        </w:rPr>
        <w:t>odat Poskytovateli dotace Žádost o proplacení dotace v Podprogramu I. dle čl. V Smlouvy. Rozhodné datum podání Žádosti je datum odeslání Žádosti o proplacení dotace v Podprogramu I. na adresu Poskytovatele dotace,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zajistit ve svém účetnictví řádnou a odděl</w:t>
      </w:r>
      <w:r>
        <w:rPr>
          <w:rFonts w:ascii="Arial" w:eastAsia="Arial" w:hAnsi="Arial" w:cs="Arial"/>
          <w:sz w:val="22"/>
          <w:szCs w:val="22"/>
        </w:rPr>
        <w:t>enou evidenci nákladů, které mají být hrazeny z dotace, v souladu se zákonem č. 563/1991 Sb., o účetnictví, ve znění pozdějších předpisů,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obdrženou dotaci využít pouze na uznatelné náklady dle této Smlouvy při realizaci služby,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 dobu 10 let archivovat ve</w:t>
      </w:r>
      <w:r>
        <w:rPr>
          <w:rFonts w:ascii="Arial" w:eastAsia="Arial" w:hAnsi="Arial" w:cs="Arial"/>
          <w:sz w:val="22"/>
          <w:szCs w:val="22"/>
        </w:rPr>
        <w:t xml:space="preserve">škerou dokumentaci vztahující se k dotaci pro případ kontroly ze strany Poskytovatele dotace, Finančního úřadu, Nejvyššího kontrolního </w:t>
      </w:r>
      <w:r>
        <w:rPr>
          <w:rFonts w:ascii="Arial" w:eastAsia="Arial" w:hAnsi="Arial" w:cs="Arial"/>
          <w:sz w:val="22"/>
          <w:szCs w:val="22"/>
        </w:rPr>
        <w:lastRenderedPageBreak/>
        <w:t>úřadu a jiných oprávněných kontrolních autorit, neboť se jedná o finance z veřejných zdrojů,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2"/>
          <w:szCs w:val="22"/>
        </w:rPr>
        <w:t>obdrženou dotaci evidovat ja</w:t>
      </w:r>
      <w:r>
        <w:rPr>
          <w:rFonts w:ascii="Arial" w:eastAsia="Arial" w:hAnsi="Arial" w:cs="Arial"/>
          <w:sz w:val="22"/>
          <w:szCs w:val="22"/>
        </w:rPr>
        <w:t xml:space="preserve">ko podporu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bookmarkStart w:id="3" w:name="_3znysh7" w:colFirst="0" w:colLast="0"/>
      <w:bookmarkEnd w:id="3"/>
      <w:r>
        <w:rPr>
          <w:rFonts w:ascii="Arial" w:eastAsia="Arial" w:hAnsi="Arial" w:cs="Arial"/>
          <w:sz w:val="22"/>
          <w:szCs w:val="22"/>
          <w:highlight w:val="white"/>
        </w:rPr>
        <w:t>neprodleně, nejpozději do 7 dnů, Poskytovateli dotace sdělit veškeré informace o záměru likvidace nebo přeměny, které mohou podle názoru Poskytovatele dotace ovlivnit podmínky a účel poskytnuté dotace (v případě přeměny i o tom, na k</w:t>
      </w:r>
      <w:r>
        <w:rPr>
          <w:rFonts w:ascii="Arial" w:eastAsia="Arial" w:hAnsi="Arial" w:cs="Arial"/>
          <w:sz w:val="22"/>
          <w:szCs w:val="22"/>
          <w:highlight w:val="white"/>
        </w:rPr>
        <w:t>terý subjekt přejdou práva a povinnosti z této Smlouvy), stejná povinnost platí i v případě zahájení insolvenčního řízení na Příjemce, a to do 7 kalendářních dnů od zveřejnění vyhlášky o zahájení insolvenčního řízení v insolvenčním rejstříku.</w:t>
      </w:r>
    </w:p>
    <w:p w:rsidR="00AB44ED" w:rsidRDefault="00C6769D">
      <w:pPr>
        <w:numPr>
          <w:ilvl w:val="1"/>
          <w:numId w:val="8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bookmarkStart w:id="4" w:name="_2et92p0" w:colFirst="0" w:colLast="0"/>
      <w:bookmarkEnd w:id="4"/>
      <w:r>
        <w:rPr>
          <w:rFonts w:ascii="Arial" w:eastAsia="Arial" w:hAnsi="Arial" w:cs="Arial"/>
          <w:sz w:val="22"/>
          <w:szCs w:val="22"/>
        </w:rPr>
        <w:t>na své úvodní</w:t>
      </w:r>
      <w:r>
        <w:rPr>
          <w:rFonts w:ascii="Arial" w:eastAsia="Arial" w:hAnsi="Arial" w:cs="Arial"/>
          <w:sz w:val="22"/>
          <w:szCs w:val="22"/>
        </w:rPr>
        <w:t xml:space="preserve"> (nebo projektům, partnerům či výzkumu se věnující) webové stránce povinně uveřejnit banner programu Středočeské inovační vouchery s logy Středočeského kraje a Středočeského inovačního centra uvedené na webových stránkách Výzvy, přičemž v případě úspěšné r</w:t>
      </w:r>
      <w:r>
        <w:rPr>
          <w:rFonts w:ascii="Arial" w:eastAsia="Arial" w:hAnsi="Arial" w:cs="Arial"/>
          <w:sz w:val="22"/>
          <w:szCs w:val="22"/>
        </w:rPr>
        <w:t>ealizace projektu a proplacení dotace se zavazuje, že informaci o podpoře projektu od Poskytovatele dotace ponechá uveřejněnou na svých webových stránkách min. 6 měsíců od proplacení dotace.</w:t>
      </w:r>
    </w:p>
    <w:p w:rsidR="00AB44ED" w:rsidRDefault="00C6769D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Příjemce se zavazuje poskytnout nezbytnou součinnost související </w:t>
      </w:r>
      <w:r>
        <w:rPr>
          <w:rFonts w:ascii="Arial" w:eastAsia="Arial" w:hAnsi="Arial" w:cs="Arial"/>
          <w:sz w:val="22"/>
          <w:szCs w:val="22"/>
        </w:rPr>
        <w:t>s kontrolou dle zákona č. 320/2001 Sb., o finanční kontrole ve veřejné správě a o změně některých zákonů (zákon o finanční kontrole).</w:t>
      </w:r>
    </w:p>
    <w:p w:rsidR="00AB44ED" w:rsidRDefault="00C6769D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Příjemce je povinen službu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realizovat v souladu s právními předpisy, touto Smlouvou a jejími přílohami, které jsou ned</w:t>
      </w:r>
      <w:r>
        <w:rPr>
          <w:rFonts w:ascii="Arial" w:eastAsia="Arial" w:hAnsi="Arial" w:cs="Arial"/>
          <w:sz w:val="22"/>
          <w:szCs w:val="22"/>
        </w:rPr>
        <w:t xml:space="preserve">ílnou součástí této Smlouvy. Změny v obsahu služby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jsou možné pouze po předchozím písemném schválení ze strany Poskytovatele dotace, a to na základě písemné a zdůvodněné žádosti.</w:t>
      </w:r>
    </w:p>
    <w:p w:rsidR="00AB44ED" w:rsidRDefault="00C6769D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Příjemce tímto uděluje Poskytovateli dotace souhlas k využití svého obcho</w:t>
      </w:r>
      <w:r>
        <w:rPr>
          <w:rFonts w:ascii="Arial" w:eastAsia="Arial" w:hAnsi="Arial" w:cs="Arial"/>
          <w:sz w:val="22"/>
          <w:szCs w:val="22"/>
        </w:rPr>
        <w:t>dního názvu, loga a veřejně dostupných údajů v souvislosti s programem Středočeské inovační vouchery. Poskytovatel dotace smí využít výše uvedené k propagaci v tištěných a elektronických materiálech, svém webu a sociálních sítích, které bezprostředně souvi</w:t>
      </w:r>
      <w:r>
        <w:rPr>
          <w:rFonts w:ascii="Arial" w:eastAsia="Arial" w:hAnsi="Arial" w:cs="Arial"/>
          <w:sz w:val="22"/>
          <w:szCs w:val="22"/>
        </w:rPr>
        <w:t>sí s programem.</w:t>
      </w:r>
    </w:p>
    <w:p w:rsidR="00AB44ED" w:rsidRDefault="00C6769D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bookmarkStart w:id="5" w:name="_tyjcwt" w:colFirst="0" w:colLast="0"/>
      <w:bookmarkEnd w:id="5"/>
      <w:r>
        <w:rPr>
          <w:rFonts w:ascii="Arial" w:eastAsia="Arial" w:hAnsi="Arial" w:cs="Arial"/>
          <w:sz w:val="22"/>
          <w:szCs w:val="22"/>
        </w:rPr>
        <w:t>Příjemce je povinen na žádost Poskytovatele dotace poskytnout své logo, případně další nezbytné podklady k realizaci ustanovení předchozího odstavce.</w:t>
      </w:r>
    </w:p>
    <w:p w:rsidR="00AB44ED" w:rsidRDefault="00C6769D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Příjemce je povinen na žádost Poskytovatele dotace poskytnout součinnost při ex-post evalu</w:t>
      </w:r>
      <w:r>
        <w:rPr>
          <w:rFonts w:ascii="Arial" w:eastAsia="Arial" w:hAnsi="Arial" w:cs="Arial"/>
          <w:sz w:val="22"/>
          <w:szCs w:val="22"/>
        </w:rPr>
        <w:t>ačních a marketingových aktivitách Středočeského inovačního centra souvisejících se Výzvou (vyplnit 1x on-line dotazník a 2x osobní rozhovor v délce 1 hod.). Tato povinnost zaniká, nebude-li Příjemce k její realizaci vyzván Poskytovatelem do jednoho roku o</w:t>
      </w:r>
      <w:r>
        <w:rPr>
          <w:rFonts w:ascii="Arial" w:eastAsia="Arial" w:hAnsi="Arial" w:cs="Arial"/>
          <w:sz w:val="22"/>
          <w:szCs w:val="22"/>
        </w:rPr>
        <w:t>de dne proplacení dotace.</w:t>
      </w:r>
    </w:p>
    <w:p w:rsidR="00AB44ED" w:rsidRDefault="00C6769D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Příjemce se zavazuje dodržet veškeré podmínky dle této Smlouvy a Výzvy. Příjemce bere na vědomí, že v případě, že některou z podmínek uvedených ve výše uvedených dokumentech poruší, nemusí mu být nárok na proplacení dotace přiznán</w:t>
      </w:r>
      <w:r>
        <w:rPr>
          <w:rFonts w:ascii="Arial" w:eastAsia="Arial" w:hAnsi="Arial" w:cs="Arial"/>
          <w:sz w:val="22"/>
          <w:szCs w:val="22"/>
        </w:rPr>
        <w:t>.</w:t>
      </w:r>
    </w:p>
    <w:p w:rsidR="00AB44ED" w:rsidRDefault="00C6769D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Porušení podmínek uvedených v odst. 2 písm. a), c), h) a i) je považováno za porušení méně závažné. Odvod za tato porušení rozpočtové kázně se stanoví následujícím procentem:</w:t>
      </w:r>
    </w:p>
    <w:p w:rsidR="00AB44ED" w:rsidRDefault="00C6769D">
      <w:pPr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Předložení kopie Smlouvy o poskytnutí služeb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VaV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podle odst. 2 písm. a) po stan</w:t>
      </w:r>
      <w:r>
        <w:rPr>
          <w:rFonts w:ascii="Arial" w:eastAsia="Arial" w:hAnsi="Arial" w:cs="Arial"/>
          <w:sz w:val="22"/>
          <w:szCs w:val="22"/>
          <w:highlight w:val="white"/>
        </w:rPr>
        <w:t>ovené lhůtě:</w:t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  <w:t>5 % poskytnuté dotace,</w:t>
      </w:r>
    </w:p>
    <w:p w:rsidR="00AB44ED" w:rsidRDefault="00C6769D">
      <w:pPr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Předložení vyúčtování podle odst. 2 písm. c) po stanovené lhůtě:</w:t>
      </w:r>
    </w:p>
    <w:p w:rsidR="00AB44ED" w:rsidRDefault="00C6769D">
      <w:pPr>
        <w:spacing w:before="60" w:line="276" w:lineRule="auto"/>
        <w:ind w:left="709" w:hanging="284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lastRenderedPageBreak/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  <w:t>do 7 kalendářních dnů</w:t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  <w:t>5 % poskytnuté dotace,</w:t>
      </w:r>
    </w:p>
    <w:p w:rsidR="00AB44ED" w:rsidRDefault="00C6769D">
      <w:pPr>
        <w:spacing w:before="60" w:line="276" w:lineRule="auto"/>
        <w:ind w:left="709" w:hanging="284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  <w:t>od 8 do 30 kalendářních dnů</w:t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  <w:t>10 % poskytnuté dotace,</w:t>
      </w:r>
    </w:p>
    <w:p w:rsidR="00AB44ED" w:rsidRDefault="00C6769D">
      <w:pPr>
        <w:spacing w:before="60" w:line="276" w:lineRule="auto"/>
        <w:ind w:left="709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nad 30 kalendářních dnů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100 % poskytnuté</w:t>
      </w:r>
      <w:r>
        <w:rPr>
          <w:rFonts w:ascii="Arial" w:eastAsia="Arial" w:hAnsi="Arial" w:cs="Arial"/>
          <w:sz w:val="22"/>
          <w:szCs w:val="22"/>
        </w:rPr>
        <w:t xml:space="preserve"> dotace,</w:t>
      </w:r>
    </w:p>
    <w:p w:rsidR="00AB44ED" w:rsidRDefault="00C6769D">
      <w:pPr>
        <w:numPr>
          <w:ilvl w:val="0"/>
          <w:numId w:val="1"/>
        </w:numPr>
        <w:spacing w:before="60" w:line="276" w:lineRule="auto"/>
        <w:ind w:left="709" w:hanging="284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Porušení podmínky stanovené v odst. 2 písm. c) spočívající ve formálních nedostatcích Žádosti o proplacení dotace v Podprogramu I.:</w:t>
      </w:r>
    </w:p>
    <w:p w:rsidR="00AB44ED" w:rsidRDefault="00C6769D">
      <w:pPr>
        <w:spacing w:before="60" w:line="276" w:lineRule="auto"/>
        <w:ind w:left="709" w:hanging="284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  <w:t>5 % poskytnuté dotace,</w:t>
      </w:r>
    </w:p>
    <w:p w:rsidR="00AB44ED" w:rsidRDefault="00C6769D">
      <w:pPr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Porušení podmínky stanovené v odst. 2 písm. h) a i):</w:t>
      </w:r>
    </w:p>
    <w:p w:rsidR="00AB44ED" w:rsidRDefault="00C6769D">
      <w:pPr>
        <w:spacing w:line="276" w:lineRule="auto"/>
        <w:ind w:left="850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  <w:t>10 % poskytnuté dotace.</w:t>
      </w:r>
    </w:p>
    <w:p w:rsidR="00AB44ED" w:rsidRDefault="00AB44ED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AB44ED" w:rsidRDefault="00C6769D">
      <w:pPr>
        <w:ind w:left="426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Poskytovatel dotace může v odůvodněných případech odstoupit od udělení sankce Příjemci dotace.</w:t>
      </w:r>
    </w:p>
    <w:p w:rsidR="00AB44ED" w:rsidRDefault="00AB44ED">
      <w:pPr>
        <w:rPr>
          <w:rFonts w:ascii="Arial" w:eastAsia="Arial" w:hAnsi="Arial" w:cs="Arial"/>
        </w:rPr>
      </w:pPr>
    </w:p>
    <w:p w:rsidR="00AB44ED" w:rsidRDefault="00AB44ED">
      <w:pPr>
        <w:jc w:val="center"/>
        <w:rPr>
          <w:rFonts w:ascii="Arial" w:eastAsia="Arial" w:hAnsi="Arial" w:cs="Arial"/>
          <w:b/>
        </w:rPr>
      </w:pP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povinnosti Poskytovatele dotace</w:t>
      </w:r>
    </w:p>
    <w:p w:rsidR="00AB44ED" w:rsidRDefault="00AB44ED">
      <w:pPr>
        <w:jc w:val="center"/>
        <w:rPr>
          <w:rFonts w:ascii="Arial" w:eastAsia="Arial" w:hAnsi="Arial" w:cs="Arial"/>
          <w:b/>
        </w:rPr>
      </w:pPr>
    </w:p>
    <w:p w:rsidR="00AB44ED" w:rsidRDefault="00C6769D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Poskytovatel dotace se zavazuje </w:t>
      </w:r>
      <w:r>
        <w:rPr>
          <w:rFonts w:ascii="Arial" w:eastAsia="Arial" w:hAnsi="Arial" w:cs="Arial"/>
          <w:sz w:val="22"/>
          <w:szCs w:val="22"/>
          <w:highlight w:val="white"/>
        </w:rPr>
        <w:t>v případě přiznání nároku na dotaci</w:t>
      </w:r>
      <w:r>
        <w:rPr>
          <w:rFonts w:ascii="Arial" w:eastAsia="Arial" w:hAnsi="Arial" w:cs="Arial"/>
          <w:sz w:val="22"/>
          <w:szCs w:val="22"/>
        </w:rPr>
        <w:t>:</w:t>
      </w:r>
    </w:p>
    <w:p w:rsidR="00AB44ED" w:rsidRDefault="00C6769D">
      <w:pPr>
        <w:numPr>
          <w:ilvl w:val="1"/>
          <w:numId w:val="14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poskytnout dotaci Příjemci dle čl. 1 odst. 2 této Smlouvy za účelem realizace předložené služby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VaV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, který musí být realizován v souladu s Žádostí o poskytnutí inovačního voucheru v Podprogramu I. ze dne </w:t>
      </w:r>
      <w:r>
        <w:rPr>
          <w:rFonts w:ascii="Arial" w:eastAsia="Arial" w:hAnsi="Arial" w:cs="Arial"/>
          <w:sz w:val="22"/>
          <w:szCs w:val="22"/>
          <w:highlight w:val="yellow"/>
        </w:rPr>
        <w:t>…….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a jejími přílohami, nenastanou-li okolnosti, na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základě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kterých Poskytovatel rozhodne o neposkytnutí dotace,</w:t>
      </w:r>
    </w:p>
    <w:p w:rsidR="00AB44ED" w:rsidRDefault="00C6769D">
      <w:pPr>
        <w:numPr>
          <w:ilvl w:val="1"/>
          <w:numId w:val="14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poskytnout dotaci pouze na úhradu uznatelných nákladů přímo souvisejících s realizací projektu a vzniklých a uhrazených v době realizace projektu od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yellow"/>
        </w:rPr>
        <w:t>….</w:t>
      </w:r>
      <w:proofErr w:type="gramEnd"/>
      <w:r>
        <w:rPr>
          <w:rFonts w:ascii="Arial" w:eastAsia="Arial" w:hAnsi="Arial" w:cs="Arial"/>
          <w:sz w:val="22"/>
          <w:szCs w:val="22"/>
          <w:highlight w:val="yellow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do</w:t>
      </w:r>
      <w:r>
        <w:rPr>
          <w:rFonts w:ascii="Arial" w:eastAsia="Arial" w:hAnsi="Arial" w:cs="Arial"/>
          <w:sz w:val="22"/>
          <w:szCs w:val="22"/>
          <w:highlight w:val="yellow"/>
        </w:rPr>
        <w:t>….</w:t>
      </w:r>
      <w:proofErr w:type="gramEnd"/>
      <w:r>
        <w:rPr>
          <w:rFonts w:ascii="Arial" w:eastAsia="Arial" w:hAnsi="Arial" w:cs="Arial"/>
          <w:sz w:val="22"/>
          <w:szCs w:val="22"/>
          <w:highlight w:val="yellow"/>
        </w:rPr>
        <w:t xml:space="preserve">. </w:t>
      </w:r>
      <w:r>
        <w:rPr>
          <w:rFonts w:ascii="Arial" w:eastAsia="Arial" w:hAnsi="Arial" w:cs="Arial"/>
          <w:sz w:val="22"/>
          <w:szCs w:val="22"/>
          <w:highlight w:val="white"/>
        </w:rPr>
        <w:t>Uznatelné náklady jsou dále definová</w:t>
      </w:r>
      <w:r>
        <w:rPr>
          <w:rFonts w:ascii="Arial" w:eastAsia="Arial" w:hAnsi="Arial" w:cs="Arial"/>
          <w:sz w:val="22"/>
          <w:szCs w:val="22"/>
          <w:highlight w:val="white"/>
        </w:rPr>
        <w:t>ny v čl. V této Smlouvy,</w:t>
      </w:r>
    </w:p>
    <w:p w:rsidR="00AB44ED" w:rsidRDefault="00C6769D">
      <w:pPr>
        <w:numPr>
          <w:ilvl w:val="1"/>
          <w:numId w:val="14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poukázat Příjemci bankovním převodem na účet Příjemce, uvedený v identifikaci smluvních stran, dotaci nepřesahující částku uvedenou v článku I. odst. 2, ve lhůtě nejpozději do 30 dnů ode dne vzniku nároku Příjemce na dotaci,</w:t>
      </w:r>
    </w:p>
    <w:p w:rsidR="00AB44ED" w:rsidRDefault="00C6769D">
      <w:pPr>
        <w:numPr>
          <w:ilvl w:val="1"/>
          <w:numId w:val="14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vydat Příjemci potvrzení o obdržení podpory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ve lhůtě 30 dnů ode dne vzniku nároku na podporu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(dnem jeho vydání, vzniká nárok Příjemce na poskytnutí dotace),</w:t>
      </w:r>
    </w:p>
    <w:p w:rsidR="00AB44ED" w:rsidRDefault="00C6769D">
      <w:pPr>
        <w:numPr>
          <w:ilvl w:val="1"/>
          <w:numId w:val="14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zanést částku do registru podpory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nejpozději do 5 pracovních dnů o</w:t>
      </w:r>
      <w:r>
        <w:rPr>
          <w:rFonts w:ascii="Arial" w:eastAsia="Arial" w:hAnsi="Arial" w:cs="Arial"/>
          <w:sz w:val="22"/>
          <w:szCs w:val="22"/>
        </w:rPr>
        <w:t xml:space="preserve">d vydání Rozhodnutí o přiznání podpory malého rozsahu (podpory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>).</w:t>
      </w:r>
    </w:p>
    <w:p w:rsidR="00AB44ED" w:rsidRDefault="00AB44ED">
      <w:pPr>
        <w:spacing w:before="120" w:line="276" w:lineRule="auto"/>
        <w:ind w:left="709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Uzavřením této Smlouvy nevzniká Příjemci právní nárok na poskytnutí dotace (podpory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>). Právní nárok na poskytnutí dotace Příjemci vznikne až v okamžiku, kdy Poskytovatel</w:t>
      </w:r>
      <w:r>
        <w:rPr>
          <w:rFonts w:ascii="Arial" w:eastAsia="Arial" w:hAnsi="Arial" w:cs="Arial"/>
          <w:sz w:val="22"/>
          <w:szCs w:val="22"/>
        </w:rPr>
        <w:t xml:space="preserve"> dotace vydá Rozhodnutí o přiznání podpory malého rozsahu (podpory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>) o vzniku takového nároku v souladu s touto Smlouvou a Výzvou.</w:t>
      </w:r>
    </w:p>
    <w:p w:rsidR="00AB44ED" w:rsidRDefault="00C6769D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Příjemce bere na vědomí, že přiznání nároku na poskytnutí podpory je zcela v gesci Poskytovatele dotace. Na přiznán</w:t>
      </w:r>
      <w:r>
        <w:rPr>
          <w:rFonts w:ascii="Arial" w:eastAsia="Arial" w:hAnsi="Arial" w:cs="Arial"/>
          <w:sz w:val="22"/>
          <w:szCs w:val="22"/>
        </w:rPr>
        <w:t xml:space="preserve">í nároku a vydání Rozhodnutí o přiznání podpory malého rozsahu (podpory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není právní nárok. Poskytovatel dotace nepřizná nárok na poskytnutí dotace a nevydá Rozhodnutí o přiznání podpory malého rozsahu (podpory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>) v případě, nejsou-li s</w:t>
      </w:r>
      <w:r>
        <w:rPr>
          <w:rFonts w:ascii="Arial" w:eastAsia="Arial" w:hAnsi="Arial" w:cs="Arial"/>
          <w:sz w:val="22"/>
          <w:szCs w:val="22"/>
        </w:rPr>
        <w:t>plněny podmínky této Smlouvy a Výzvy, či pokud existují jiné významné okolnosti, které odůvodňují nepřiznání nároku.</w:t>
      </w:r>
    </w:p>
    <w:p w:rsidR="00AB44ED" w:rsidRDefault="00AB44ED">
      <w:pPr>
        <w:spacing w:before="120" w:line="276" w:lineRule="auto"/>
        <w:ind w:left="426"/>
        <w:jc w:val="center"/>
        <w:rPr>
          <w:rFonts w:ascii="Arial" w:eastAsia="Arial" w:hAnsi="Arial" w:cs="Arial"/>
          <w:sz w:val="22"/>
          <w:szCs w:val="22"/>
        </w:rPr>
      </w:pPr>
    </w:p>
    <w:p w:rsidR="00AB44ED" w:rsidRDefault="00AB44ED">
      <w:pPr>
        <w:spacing w:before="120" w:line="276" w:lineRule="auto"/>
        <w:ind w:left="426"/>
        <w:jc w:val="center"/>
        <w:rPr>
          <w:rFonts w:ascii="Arial" w:eastAsia="Arial" w:hAnsi="Arial" w:cs="Arial"/>
          <w:b/>
        </w:rPr>
      </w:pPr>
    </w:p>
    <w:p w:rsidR="00AB44ED" w:rsidRDefault="00C6769D">
      <w:pPr>
        <w:spacing w:before="120" w:line="276" w:lineRule="auto"/>
        <w:ind w:left="42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V. </w:t>
      </w:r>
    </w:p>
    <w:p w:rsidR="00AB44ED" w:rsidRDefault="00C6769D">
      <w:pPr>
        <w:spacing w:before="120" w:line="276" w:lineRule="auto"/>
        <w:ind w:left="42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Uznatelné náklady</w:t>
      </w:r>
    </w:p>
    <w:p w:rsidR="00AB44ED" w:rsidRDefault="00AB44ED">
      <w:pPr>
        <w:spacing w:before="120"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Uznatelným nákladem služby je náklad, který splňuje níže uvedené podmínky:</w:t>
      </w:r>
    </w:p>
    <w:p w:rsidR="00AB44ED" w:rsidRDefault="00AB44E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byl vynaložen v souladu s podmínkami Smlouvy a Výzvou</w:t>
      </w:r>
      <w:r>
        <w:rPr>
          <w:rFonts w:ascii="Arial" w:eastAsia="Arial" w:hAnsi="Arial" w:cs="Arial"/>
          <w:sz w:val="22"/>
          <w:szCs w:val="22"/>
          <w:highlight w:val="white"/>
        </w:rPr>
        <w:t>,</w:t>
      </w:r>
    </w:p>
    <w:p w:rsidR="00AB44ED" w:rsidRDefault="00C6769D">
      <w:pPr>
        <w:widowControl w:val="0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vznikl Příjemci v období realizace služby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v přímé souvislosti s její realizací uvedené služby,</w:t>
      </w:r>
    </w:p>
    <w:p w:rsidR="00AB44ED" w:rsidRDefault="00C6769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musí být prokazatelně vynaložen od data vyhlášení Výzvy, zanesen v účetnictví Příjemce a musí být do</w:t>
      </w:r>
      <w:r>
        <w:rPr>
          <w:rFonts w:ascii="Arial" w:eastAsia="Arial" w:hAnsi="Arial" w:cs="Arial"/>
          <w:sz w:val="22"/>
          <w:szCs w:val="22"/>
        </w:rPr>
        <w:t>ložen účetními doklady,</w:t>
      </w:r>
    </w:p>
    <w:p w:rsidR="00AB44ED" w:rsidRDefault="00C6769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byl vynaložen v souladu s účelovým určením dotace za předpokladu, že toto účelové určení bylo Příjemcem v rámci realizace plně dosaženo a splněno,</w:t>
      </w:r>
    </w:p>
    <w:p w:rsidR="00AB44ED" w:rsidRDefault="00C6769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vyhovuje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zásadám účelnosti, efektivnosti a hospodárnosti podle § 2, odst. l) </w:t>
      </w:r>
      <w:r>
        <w:rPr>
          <w:rFonts w:ascii="Arial" w:eastAsia="Arial" w:hAnsi="Arial" w:cs="Arial"/>
          <w:sz w:val="22"/>
          <w:szCs w:val="22"/>
        </w:rPr>
        <w:t xml:space="preserve">až o) </w:t>
      </w:r>
      <w:r>
        <w:rPr>
          <w:rFonts w:ascii="Arial" w:eastAsia="Arial" w:hAnsi="Arial" w:cs="Arial"/>
          <w:sz w:val="22"/>
          <w:szCs w:val="22"/>
          <w:highlight w:val="white"/>
        </w:rPr>
        <w:t>zá</w:t>
      </w:r>
      <w:r>
        <w:rPr>
          <w:rFonts w:ascii="Arial" w:eastAsia="Arial" w:hAnsi="Arial" w:cs="Arial"/>
          <w:sz w:val="22"/>
          <w:szCs w:val="22"/>
          <w:highlight w:val="white"/>
        </w:rPr>
        <w:t>kona č. 320/2001 Sb., o finanční kontrole ve veřejné správě a o změně některých zákonů (zákon o finanční kontrole), v platném znění.</w:t>
      </w:r>
    </w:p>
    <w:p w:rsidR="00AB44ED" w:rsidRDefault="00AB44E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AB44ED" w:rsidRDefault="00C6769D">
      <w:pPr>
        <w:widowControl w:val="0"/>
        <w:numPr>
          <w:ilvl w:val="0"/>
          <w:numId w:val="11"/>
        </w:numPr>
        <w:spacing w:before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Inovační voucher lze využít pouze na nákup služby od Poskytovatele služeb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VaV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v oblastech definovaných ve Výzvě (kapitola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IV. Podmínky, část Poskytovatelé služeb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VaV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, Výzvy).</w:t>
      </w:r>
    </w:p>
    <w:p w:rsidR="00AB44ED" w:rsidRDefault="00C6769D">
      <w:pPr>
        <w:widowControl w:val="0"/>
        <w:numPr>
          <w:ilvl w:val="0"/>
          <w:numId w:val="11"/>
        </w:numPr>
        <w:spacing w:before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>Daň z přidané hodnoty (DPH), vztahující se k uznatelným nákladům, je uznatelným nákladem, pokud Příjemce není plátcem této daně nebo pokud mu nevzniká nárok na odpočet této daně.</w:t>
      </w:r>
    </w:p>
    <w:p w:rsidR="00AB44ED" w:rsidRDefault="00C6769D">
      <w:pPr>
        <w:widowControl w:val="0"/>
        <w:numPr>
          <w:ilvl w:val="0"/>
          <w:numId w:val="11"/>
        </w:numPr>
        <w:spacing w:before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>O uznatelnosti nákladů s</w:t>
      </w:r>
      <w:r>
        <w:rPr>
          <w:rFonts w:ascii="Arial" w:eastAsia="Arial" w:hAnsi="Arial" w:cs="Arial"/>
          <w:sz w:val="22"/>
          <w:szCs w:val="22"/>
        </w:rPr>
        <w:t>i vyhrazuje právo rozhodnout Poskytovatel dotace.</w:t>
      </w:r>
    </w:p>
    <w:p w:rsidR="00AB44ED" w:rsidRDefault="00AB44ED">
      <w:pPr>
        <w:rPr>
          <w:rFonts w:ascii="Arial" w:eastAsia="Arial" w:hAnsi="Arial" w:cs="Arial"/>
          <w:b/>
        </w:rPr>
      </w:pPr>
    </w:p>
    <w:p w:rsidR="00AB44ED" w:rsidRDefault="00AB44ED">
      <w:pPr>
        <w:rPr>
          <w:rFonts w:ascii="Arial" w:eastAsia="Arial" w:hAnsi="Arial" w:cs="Arial"/>
          <w:b/>
        </w:rPr>
      </w:pPr>
    </w:p>
    <w:p w:rsidR="00AB44ED" w:rsidRDefault="00C6769D">
      <w:pPr>
        <w:spacing w:after="160" w:line="259" w:lineRule="auto"/>
        <w:rPr>
          <w:rFonts w:ascii="Arial" w:eastAsia="Arial" w:hAnsi="Arial" w:cs="Arial"/>
          <w:b/>
        </w:rPr>
      </w:pPr>
      <w:r>
        <w:br w:type="page"/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VI.</w:t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Žádost o proplacení dotace</w:t>
      </w:r>
    </w:p>
    <w:p w:rsidR="00AB44ED" w:rsidRDefault="00AB44E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bookmarkStart w:id="6" w:name="_3dy6vkm" w:colFirst="0" w:colLast="0"/>
      <w:bookmarkEnd w:id="6"/>
      <w:r>
        <w:rPr>
          <w:rFonts w:ascii="Arial" w:eastAsia="Arial" w:hAnsi="Arial" w:cs="Arial"/>
          <w:sz w:val="22"/>
          <w:szCs w:val="22"/>
        </w:rPr>
        <w:t xml:space="preserve">Po realizaci služby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zašle Příjemce Poskytovateli dotace originál Žádosti o proplacení dotace v Podprogramu I. Spolu s ní zašle Příjemce následující dokumentaci ke kontrole:</w:t>
      </w:r>
    </w:p>
    <w:p w:rsidR="00AB44ED" w:rsidRDefault="00C6769D">
      <w:pPr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hanging="29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scan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faktury / daňového dokladu vystaveného Poskytovatelem služeb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:rsidR="00AB44ED" w:rsidRDefault="00C6769D">
      <w:pPr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hanging="29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scan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Pře</w:t>
      </w:r>
      <w:r>
        <w:rPr>
          <w:rFonts w:ascii="Arial" w:eastAsia="Arial" w:hAnsi="Arial" w:cs="Arial"/>
          <w:sz w:val="22"/>
          <w:szCs w:val="22"/>
        </w:rPr>
        <w:t xml:space="preserve">dávacího protokolu v Podprogramu I. mezi Příjemcem a Poskytovatelem služeb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který potvrzuje, že služba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byla realizována řádně a bez vad a nedodělků a Příjemce přebírá výsledky poskytnuté služby;</w:t>
      </w:r>
    </w:p>
    <w:p w:rsidR="00AB44ED" w:rsidRDefault="00C6769D">
      <w:pPr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hanging="29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scan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výpisu z bankovního účtu, event. pokladního dokl</w:t>
      </w:r>
      <w:r>
        <w:rPr>
          <w:rFonts w:ascii="Arial" w:eastAsia="Arial" w:hAnsi="Arial" w:cs="Arial"/>
          <w:sz w:val="22"/>
          <w:szCs w:val="22"/>
        </w:rPr>
        <w:t xml:space="preserve">adu, prokazujícího řádné zaplacení faktury / daňového dokladu Poskytovateli služeb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dokládající realizaci platby Poskytovateli služby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>. V případě elektronického výpisu z účtu je nutné podepsat tento statutárním zástupcem Příjemce.</w:t>
      </w:r>
    </w:p>
    <w:p w:rsidR="00AB44ED" w:rsidRDefault="00AB44E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 dota</w:t>
      </w:r>
      <w:r>
        <w:rPr>
          <w:rFonts w:ascii="Arial" w:eastAsia="Arial" w:hAnsi="Arial" w:cs="Arial"/>
          <w:sz w:val="22"/>
          <w:szCs w:val="22"/>
        </w:rPr>
        <w:t>ce má právo vyžádat si od Příjemce další dokumenty nad rámec výše uvedeného. Poskytovatel má právo vyžádat si ke kontrole originály veškerých zaslaných dokumentů.</w:t>
      </w:r>
    </w:p>
    <w:p w:rsidR="00AB44ED" w:rsidRDefault="00AB44ED">
      <w:pPr>
        <w:widowControl w:val="0"/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 dotace výše zmíněné dokumenty po jejich obdržení prověří, a pokud nezjistí nesr</w:t>
      </w:r>
      <w:r>
        <w:rPr>
          <w:rFonts w:ascii="Arial" w:eastAsia="Arial" w:hAnsi="Arial" w:cs="Arial"/>
          <w:sz w:val="22"/>
          <w:szCs w:val="22"/>
        </w:rPr>
        <w:t xml:space="preserve">ovnalosti/ rozpory s Výzvou a Smlouvou, či nenastanou jiné významné okolnosti, které odůvodňují nepřiznání nároku na poskytnutí dotace, vydá Rozhodnutí o přiznání podpory malého rozsahu (podpory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>), že má Příjemce nárok na vyplacení podpory. Právn</w:t>
      </w:r>
      <w:r>
        <w:rPr>
          <w:rFonts w:ascii="Arial" w:eastAsia="Arial" w:hAnsi="Arial" w:cs="Arial"/>
          <w:sz w:val="22"/>
          <w:szCs w:val="22"/>
        </w:rPr>
        <w:t xml:space="preserve">í nárok na poskytnutí dotace Příjemci vznikne až v okamžiku, kdy Poskytovatel dotace vydá Rozhodnutí o přiznání podpory malého rozsahu (podpory de </w:t>
      </w:r>
      <w:proofErr w:type="spellStart"/>
      <w:r>
        <w:rPr>
          <w:rFonts w:ascii="Arial" w:eastAsia="Arial" w:hAnsi="Arial" w:cs="Arial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o vzniku takového nároku. O svém rozhodnutí bez zbytečného odkladu Příjemce vyrozumí. V případě, že </w:t>
      </w:r>
      <w:r>
        <w:rPr>
          <w:rFonts w:ascii="Arial" w:eastAsia="Arial" w:hAnsi="Arial" w:cs="Arial"/>
          <w:sz w:val="22"/>
          <w:szCs w:val="22"/>
        </w:rPr>
        <w:t>Poskytovatel dotace rozhodne o přiznání právního nároku na poskytnutí podpory, vyplatí Příjemci dotaci do 30 dnů od vydání rozhodnutí.</w:t>
      </w:r>
    </w:p>
    <w:p w:rsidR="00AB44ED" w:rsidRDefault="00AB44ED">
      <w:pPr>
        <w:widowControl w:val="0"/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 zjištění nesrovnalostí / rozporů vyzve Poskytovatel dotace Příjemce k doplnění / doložení požadovaných dokladů</w:t>
      </w:r>
      <w:r>
        <w:rPr>
          <w:rFonts w:ascii="Arial" w:eastAsia="Arial" w:hAnsi="Arial" w:cs="Arial"/>
          <w:sz w:val="22"/>
          <w:szCs w:val="22"/>
        </w:rPr>
        <w:t>.</w:t>
      </w:r>
    </w:p>
    <w:p w:rsidR="00AB44ED" w:rsidRDefault="00AB44ED">
      <w:pPr>
        <w:widowControl w:val="0"/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 převzetí plnění od Poskytovatele služeb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musí dojít nejpozději do 8 měsíců od termínu předložení Žádosti o poskytnutí inovačního voucheru v Podprogramu I. Poskytovateli dotace a k podání Žádosti o proplacení dotace musí dojít do 30 dnů od ukončení ter</w:t>
      </w:r>
      <w:r>
        <w:rPr>
          <w:rFonts w:ascii="Arial" w:eastAsia="Arial" w:hAnsi="Arial" w:cs="Arial"/>
          <w:sz w:val="22"/>
          <w:szCs w:val="22"/>
        </w:rPr>
        <w:t>mínu realizace služby.</w:t>
      </w:r>
    </w:p>
    <w:p w:rsidR="00AB44ED" w:rsidRDefault="00C6769D">
      <w:pPr>
        <w:widowControl w:val="0"/>
        <w:numPr>
          <w:ilvl w:val="0"/>
          <w:numId w:val="10"/>
        </w:numPr>
        <w:spacing w:before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 dotace nemusí přiznat nárok na poskytnutí podpory ani Příjemci, který splnil pravidla dle této Výzvy a Smlouvy o poskytnutí inovačního voucheru, pokud toto rozhodnutí řádně zdůvodní.</w:t>
      </w:r>
    </w:p>
    <w:p w:rsidR="00AB44ED" w:rsidRDefault="00C6769D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AB44ED" w:rsidRDefault="00C6769D">
      <w:pPr>
        <w:keepNext/>
        <w:keepLines/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bookmarkStart w:id="7" w:name="_1t3h5sf" w:colFirst="0" w:colLast="0"/>
      <w:bookmarkEnd w:id="7"/>
      <w:r>
        <w:rPr>
          <w:rFonts w:ascii="Arial" w:eastAsia="Arial" w:hAnsi="Arial" w:cs="Arial"/>
          <w:b/>
        </w:rPr>
        <w:lastRenderedPageBreak/>
        <w:t xml:space="preserve">VII. </w:t>
      </w:r>
    </w:p>
    <w:p w:rsidR="00AB44ED" w:rsidRDefault="00C6769D">
      <w:pPr>
        <w:keepNext/>
        <w:keepLines/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Kontrola realizace a evaluace</w:t>
      </w:r>
    </w:p>
    <w:p w:rsidR="00AB44ED" w:rsidRDefault="00AB44E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widowControl w:val="0"/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Ověřování správnosti použití poskytnuté dotace, zejména zda byla hospodárně, efektivně a účelně využita, podléhá kontrole Poskytovatele dotace dle zákona č. 320/2001 Sb., o finanční kontrole ve veřejné správě a o změně některých zákonů (zákon o finanční </w:t>
      </w:r>
      <w:r>
        <w:rPr>
          <w:rFonts w:ascii="Arial" w:eastAsia="Arial" w:hAnsi="Arial" w:cs="Arial"/>
          <w:sz w:val="22"/>
          <w:szCs w:val="22"/>
        </w:rPr>
        <w:t>kontrole), v platném znění. Po obdržení závěrečného vyúčtování je Poskytovatel dotace oprávněn provést kontrolu:</w:t>
      </w:r>
    </w:p>
    <w:p w:rsidR="00AB44ED" w:rsidRDefault="00C6769D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formální správnosti, </w:t>
      </w:r>
    </w:p>
    <w:p w:rsidR="00AB44ED" w:rsidRDefault="00C6769D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dodržení účelového určení, </w:t>
      </w:r>
    </w:p>
    <w:p w:rsidR="00AB44ED" w:rsidRDefault="00C6769D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dodržení závazných ukazatelů, </w:t>
      </w:r>
    </w:p>
    <w:p w:rsidR="00AB44ED" w:rsidRDefault="00C6769D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celkové evidence, </w:t>
      </w:r>
    </w:p>
    <w:p w:rsidR="00AB44ED" w:rsidRDefault="00C6769D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uznatelnosti nákladů v rámci realizace. </w:t>
      </w:r>
    </w:p>
    <w:p w:rsidR="00AB44ED" w:rsidRDefault="00C6769D">
      <w:pPr>
        <w:widowControl w:val="0"/>
        <w:numPr>
          <w:ilvl w:val="0"/>
          <w:numId w:val="5"/>
        </w:numPr>
        <w:spacing w:before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Neoprávněné použití dotace nebo zadržení dotace bude klasifikováno jako porušení rozpočtové kázně podle § 22 zákona č. 250/2000 Sb., o rozpočtových pravidlech územních rozpočtů, v platném znění. Všechny zúčastněné subjekty se zavazují na vyžádání Poskytova</w:t>
      </w:r>
      <w:r>
        <w:rPr>
          <w:rFonts w:ascii="Arial" w:eastAsia="Arial" w:hAnsi="Arial" w:cs="Arial"/>
          <w:sz w:val="22"/>
          <w:szCs w:val="22"/>
        </w:rPr>
        <w:t>tele dotace poskytnout informace potřebné pro provedení evaluace přínosů inovačních voucherů.</w:t>
      </w:r>
    </w:p>
    <w:p w:rsidR="00AB44ED" w:rsidRDefault="00AB44E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AB44ED" w:rsidRDefault="00AB44ED">
      <w:pPr>
        <w:jc w:val="center"/>
        <w:rPr>
          <w:rFonts w:ascii="Arial" w:eastAsia="Arial" w:hAnsi="Arial" w:cs="Arial"/>
          <w:b/>
        </w:rPr>
      </w:pP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VIII.</w:t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Ukončení Smlouvy</w:t>
      </w:r>
    </w:p>
    <w:p w:rsidR="00AB44ED" w:rsidRDefault="00AB44ED">
      <w:pPr>
        <w:spacing w:before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AB44ED" w:rsidRDefault="00C6769D">
      <w:pPr>
        <w:numPr>
          <w:ilvl w:val="0"/>
          <w:numId w:val="13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Poskytovatel dotace je oprávněn od této Smlouvy jednostranně písemně odstoupit v případě, že Příjemce nebude plnit své závazky sjednané </w:t>
      </w:r>
      <w:r>
        <w:rPr>
          <w:rFonts w:ascii="Arial" w:eastAsia="Arial" w:hAnsi="Arial" w:cs="Arial"/>
          <w:sz w:val="22"/>
          <w:szCs w:val="22"/>
        </w:rPr>
        <w:t>v této Smlouvě. Odstoupení od této Smlouvy je účinné dnem doručení informace o odstoupení Příjemci. Poskytovatel dotace je rovněž oprávněn od této Smlouvy odstoupit v případě nepravdivosti jakéhokoliv údaje Příjemcem uvedeného v Žádosti o poskytnutí inovač</w:t>
      </w:r>
      <w:r>
        <w:rPr>
          <w:rFonts w:ascii="Arial" w:eastAsia="Arial" w:hAnsi="Arial" w:cs="Arial"/>
          <w:sz w:val="22"/>
          <w:szCs w:val="22"/>
        </w:rPr>
        <w:t>ního voucheru v Podprogramu I. a jejích přílohách.</w:t>
      </w:r>
    </w:p>
    <w:p w:rsidR="00AB44ED" w:rsidRDefault="00C6769D">
      <w:pPr>
        <w:numPr>
          <w:ilvl w:val="0"/>
          <w:numId w:val="13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Příjemce je oprávněn písemně vypovědět tuto smlouvu bez uvedení důvodů s výpovědní lhůtou v trvání 7 pracovních dní ode dne doručení výpovědi Poskytovateli dotace pouze do doby podání Žádosti o proplacení </w:t>
      </w:r>
      <w:r>
        <w:rPr>
          <w:rFonts w:ascii="Arial" w:eastAsia="Arial" w:hAnsi="Arial" w:cs="Arial"/>
          <w:sz w:val="22"/>
          <w:szCs w:val="22"/>
        </w:rPr>
        <w:t>dotace v Podprogramu I.</w:t>
      </w:r>
    </w:p>
    <w:p w:rsidR="00AB44ED" w:rsidRDefault="00C6769D">
      <w:pPr>
        <w:numPr>
          <w:ilvl w:val="0"/>
          <w:numId w:val="13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případě, že Příjemce závažným způsobem poruší sjednané smluvní podmínky poskytnutí dotace, a toto porušení bude Poskytovatelem dotace zjištěno až po proplacení dotace, může Poskytovatel požadovat vrácení dotace v plné výši. Příjem</w:t>
      </w:r>
      <w:r>
        <w:rPr>
          <w:rFonts w:ascii="Arial" w:eastAsia="Arial" w:hAnsi="Arial" w:cs="Arial"/>
          <w:sz w:val="22"/>
          <w:szCs w:val="22"/>
        </w:rPr>
        <w:t>ce se zavazuje vrátit dotaci v plné výši do 30 dnů od doručení písemné výzvy k vrácení dotace na běžný účet Poskytovatele dotace. Za závažné porušení smluvních podmínek se považuje zejména, nikoli však výlučně:</w:t>
      </w:r>
    </w:p>
    <w:p w:rsidR="00AB44ED" w:rsidRDefault="00C6769D">
      <w:pPr>
        <w:numPr>
          <w:ilvl w:val="1"/>
          <w:numId w:val="13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použití dotace v rozporu s touto Smlouvou, obzvláště porušení ustanovení čl. III odst. 2. písm. a), e), f) a g),</w:t>
      </w:r>
    </w:p>
    <w:p w:rsidR="00AB44ED" w:rsidRDefault="00C6769D">
      <w:pPr>
        <w:numPr>
          <w:ilvl w:val="1"/>
          <w:numId w:val="13"/>
        </w:numPr>
        <w:spacing w:before="120"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uvedení nepravdivých informací v Čestném prohlášení žadatele o inovační voucher v Podprogramu I. a uvedení nepravdivých informací při podání Žá</w:t>
      </w:r>
      <w:r>
        <w:rPr>
          <w:rFonts w:ascii="Arial" w:eastAsia="Arial" w:hAnsi="Arial" w:cs="Arial"/>
          <w:sz w:val="22"/>
          <w:szCs w:val="22"/>
        </w:rPr>
        <w:t>dosti o poskytnutí inovačního voucheru v Podprogramu I.</w:t>
      </w:r>
    </w:p>
    <w:p w:rsidR="00AB44ED" w:rsidRDefault="00AB44ED">
      <w:pPr>
        <w:spacing w:before="120" w:line="276" w:lineRule="auto"/>
        <w:ind w:left="1440"/>
        <w:jc w:val="both"/>
        <w:rPr>
          <w:rFonts w:ascii="Arial" w:eastAsia="Arial" w:hAnsi="Arial" w:cs="Arial"/>
          <w:sz w:val="22"/>
          <w:szCs w:val="22"/>
        </w:rPr>
      </w:pPr>
    </w:p>
    <w:p w:rsidR="00AB44ED" w:rsidRDefault="00C6769D">
      <w:pPr>
        <w:spacing w:after="160" w:line="259" w:lineRule="auto"/>
        <w:rPr>
          <w:rFonts w:ascii="Arial" w:eastAsia="Arial" w:hAnsi="Arial" w:cs="Arial"/>
          <w:b/>
        </w:rPr>
      </w:pPr>
      <w:r>
        <w:br w:type="page"/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IX.</w:t>
      </w:r>
    </w:p>
    <w:p w:rsidR="00AB44ED" w:rsidRDefault="00C676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:rsidR="00AB44ED" w:rsidRDefault="00AB44ED">
      <w:pPr>
        <w:jc w:val="center"/>
        <w:rPr>
          <w:rFonts w:ascii="Arial" w:eastAsia="Arial" w:hAnsi="Arial" w:cs="Arial"/>
          <w:b/>
        </w:rPr>
      </w:pP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 xml:space="preserve">Práva vzniklá z této Smlouvy nesmí být postoupena bez předchozího písemného souhlasu druhé strany. Za písemnou formu nebude pro tento účel považována výměna e-mailových, či jiných elektronických zpráv. 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>Smluvní strany výslovně souhlasí, aby tato Smlouva by</w:t>
      </w:r>
      <w:r>
        <w:rPr>
          <w:rFonts w:ascii="Arial" w:eastAsia="Arial" w:hAnsi="Arial" w:cs="Arial"/>
          <w:sz w:val="22"/>
          <w:szCs w:val="22"/>
        </w:rPr>
        <w:t>la uvedena v evidenci smluv k programu Středočeské inovační vouchery, Podprogramu I. vedené Poskytovatelem dotace či Středočeským krajem. Tato evidence může být veřejně přístupná a může obsahovat údaje o smluvních stranách této Smlouvy, předmětu této Smlou</w:t>
      </w:r>
      <w:r>
        <w:rPr>
          <w:rFonts w:ascii="Arial" w:eastAsia="Arial" w:hAnsi="Arial" w:cs="Arial"/>
          <w:sz w:val="22"/>
          <w:szCs w:val="22"/>
        </w:rPr>
        <w:t>vy a datu jejího podpisu. Smluvní strany výslovně prohlašují, že skutečnosti uvedené v této Smlouvě nepovažují za obchodní tajemství ve smyslu § 504 zákona č. 89/2012 Sb., občanského zákoníku, a udělují svolení k jejich užití a zveřejnění bez stanovení jak</w:t>
      </w:r>
      <w:r>
        <w:rPr>
          <w:rFonts w:ascii="Arial" w:eastAsia="Arial" w:hAnsi="Arial" w:cs="Arial"/>
          <w:sz w:val="22"/>
          <w:szCs w:val="22"/>
        </w:rPr>
        <w:t>ýchkoliv dalších podmínek.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>Smluvní strany také souhlasí s poskytnutím informací v rozsahu ustanovení zákona č. 106/1999 Sb., o svobodném přístupu k informacím, ve znění pozdějších předpisů.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>Tato Smlouva může být měněna pouze písemnými, vzestupně číslovaným</w:t>
      </w:r>
      <w:r>
        <w:rPr>
          <w:rFonts w:ascii="Arial" w:eastAsia="Arial" w:hAnsi="Arial" w:cs="Arial"/>
          <w:sz w:val="22"/>
          <w:szCs w:val="22"/>
        </w:rPr>
        <w:t>i dodatky, podepsanými oprávněnými zástupci obou smluvních stran. Za písemnou formu nebude pro tento účel považována výměna e-mailových či jiných elektronických zpráv.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>Tato Smlouva obsahuje úplné ujednání o předmětu Smlouvy a všech náležitostech, které str</w:t>
      </w:r>
      <w:r>
        <w:rPr>
          <w:rFonts w:ascii="Arial" w:eastAsia="Arial" w:hAnsi="Arial" w:cs="Arial"/>
          <w:sz w:val="22"/>
          <w:szCs w:val="22"/>
        </w:rPr>
        <w:t>any měly a chtěly ve Smlouvě ujednat, a které považují za důležité pro závaznost této Smlouvy.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>Strany si sdělily všechny skutkové a právní okolnosti, o nichž k datu podpisu této Smlouvy věděly nebo vědět musely, a které jsou relevantní ve vztahu k uzavření</w:t>
      </w:r>
      <w:r>
        <w:rPr>
          <w:rFonts w:ascii="Arial" w:eastAsia="Arial" w:hAnsi="Arial" w:cs="Arial"/>
          <w:sz w:val="22"/>
          <w:szCs w:val="22"/>
        </w:rPr>
        <w:t xml:space="preserve"> této Smlouvy. Kromě ujištění, která si strany poskytly v této Smlouvě, nebude mít žádná ze stran žádná další práva a povinnosti v souvislosti s jakýmikoliv skutečnostmi, které vyjdou najevo a o kterých neposkytla druhá strana informace při jednání o této </w:t>
      </w:r>
      <w:r>
        <w:rPr>
          <w:rFonts w:ascii="Arial" w:eastAsia="Arial" w:hAnsi="Arial" w:cs="Arial"/>
          <w:sz w:val="22"/>
          <w:szCs w:val="22"/>
        </w:rPr>
        <w:t>Smlouvě. Výjimkou budou případy, kdy daná strana úmyslně uvedla druhou stranu ve skutkový omyl ohledně předmětu této Smlouvy.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>Ukáže-li se některé z ustanovení této Smlouvy zdánlivým (nicotným), posoudí se vliv této vady na ostatní ustanovení Smlouvy obdobn</w:t>
      </w:r>
      <w:r>
        <w:rPr>
          <w:rFonts w:ascii="Arial" w:eastAsia="Arial" w:hAnsi="Arial" w:cs="Arial"/>
          <w:sz w:val="22"/>
          <w:szCs w:val="22"/>
        </w:rPr>
        <w:t>ě podle § 576 zákona č. 89/2012 Sb., občanského zákoníku.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>V případě, že kterékoliv ustanovení této Smlouvy je nebo se stane neplatným, neúčinným nebo nevykonatelným, potom neplatnost, neúčinnost či nevykonatelnost takového ustanovení nemá a nebude mít vliv</w:t>
      </w:r>
      <w:r>
        <w:rPr>
          <w:rFonts w:ascii="Arial" w:eastAsia="Arial" w:hAnsi="Arial" w:cs="Arial"/>
          <w:sz w:val="22"/>
          <w:szCs w:val="22"/>
        </w:rPr>
        <w:t xml:space="preserve"> na platnost, účinnost a vykonatelnost ostatních ustanovení této Smlouvy, nestanoví-li zákon jinak. Bez zbytečného odkladu poté, co o kterémkoliv ustanovení této Smlouvy bude smluvními stranami uznáno nebo pravomocně rozhodnuto, že je neplatné, neúčinné ne</w:t>
      </w:r>
      <w:r>
        <w:rPr>
          <w:rFonts w:ascii="Arial" w:eastAsia="Arial" w:hAnsi="Arial" w:cs="Arial"/>
          <w:sz w:val="22"/>
          <w:szCs w:val="22"/>
        </w:rPr>
        <w:t>bo nevykonatelné, zavazují se smluvní strany nahradit takové neplatné, neúčinné nebo nevykonatelné ustanovení novým ustanovením, které bude platné, účinné nebo vykonatelné a bude nejlépe vyhovovat účelu této Smlouvy.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>Na důkaz souhlasu s obsahem této Smlouv</w:t>
      </w:r>
      <w:r>
        <w:rPr>
          <w:rFonts w:ascii="Arial" w:eastAsia="Arial" w:hAnsi="Arial" w:cs="Arial"/>
          <w:sz w:val="22"/>
          <w:szCs w:val="22"/>
        </w:rPr>
        <w:t xml:space="preserve">y připojují smluvní strany své podpisy a zároveň prohlašují, že tato Smlouva byla uzavřena ze svobodné a vážné vůle stran, že </w:t>
      </w:r>
      <w:r>
        <w:rPr>
          <w:rFonts w:ascii="Arial" w:eastAsia="Arial" w:hAnsi="Arial" w:cs="Arial"/>
          <w:sz w:val="22"/>
          <w:szCs w:val="22"/>
        </w:rPr>
        <w:lastRenderedPageBreak/>
        <w:t>považují obsah této Smlouvy za určitý a srozumitelný a že jsou jim známy všechny skutečnosti, jež jsou pro uzavření této Smlouvy r</w:t>
      </w:r>
      <w:r>
        <w:rPr>
          <w:rFonts w:ascii="Arial" w:eastAsia="Arial" w:hAnsi="Arial" w:cs="Arial"/>
          <w:sz w:val="22"/>
          <w:szCs w:val="22"/>
        </w:rPr>
        <w:t xml:space="preserve">ozhodující. 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</w:pPr>
      <w:r>
        <w:rPr>
          <w:rFonts w:ascii="Arial" w:eastAsia="Arial" w:hAnsi="Arial" w:cs="Arial"/>
          <w:sz w:val="22"/>
          <w:szCs w:val="22"/>
        </w:rPr>
        <w:t>Smluvní strany se dohodly, že místně příslušným soudem pro případ sporů v</w:t>
      </w:r>
      <w:r>
        <w:rPr>
          <w:rFonts w:ascii="Arial" w:eastAsia="Arial" w:hAnsi="Arial" w:cs="Arial"/>
          <w:sz w:val="22"/>
          <w:szCs w:val="22"/>
          <w:highlight w:val="white"/>
        </w:rPr>
        <w:t>yplývajících z této Smlouvy, je soud příslušný dle sídla Poskytovatele dotace.</w:t>
      </w:r>
    </w:p>
    <w:p w:rsidR="00AB44ED" w:rsidRDefault="00C6769D">
      <w:pPr>
        <w:numPr>
          <w:ilvl w:val="0"/>
          <w:numId w:val="9"/>
        </w:numPr>
        <w:spacing w:before="120" w:line="276" w:lineRule="auto"/>
        <w:ind w:left="425" w:hanging="425"/>
        <w:jc w:val="both"/>
        <w:rPr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Tato Smlouva je podepsána ve dvou vyhotoveních s platností originálu, přičemž každá smluvní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strana obdrží jedno vyhotovení.</w:t>
      </w:r>
    </w:p>
    <w:p w:rsidR="00AB44ED" w:rsidRDefault="00AB44ED">
      <w:pPr>
        <w:rPr>
          <w:rFonts w:ascii="Arial" w:eastAsia="Arial" w:hAnsi="Arial" w:cs="Arial"/>
          <w:highlight w:val="white"/>
        </w:rPr>
      </w:pPr>
    </w:p>
    <w:p w:rsidR="00AB44ED" w:rsidRDefault="00AB44ED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AB44ED" w:rsidRDefault="00C6769D">
      <w:pPr>
        <w:spacing w:before="120"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Nedílnou součástí této Smlouvy jsou následující přílohy:</w:t>
      </w:r>
    </w:p>
    <w:p w:rsidR="00AB44ED" w:rsidRDefault="00C6769D">
      <w:pPr>
        <w:spacing w:before="120" w:line="276" w:lineRule="auto"/>
        <w:rPr>
          <w:rFonts w:ascii="Arial" w:eastAsia="Arial" w:hAnsi="Arial" w:cs="Arial"/>
          <w:sz w:val="22"/>
          <w:szCs w:val="22"/>
          <w:highlight w:val="cyan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Příloha č. 1 – </w:t>
      </w:r>
      <w:r>
        <w:rPr>
          <w:rFonts w:ascii="Arial" w:eastAsia="Arial" w:hAnsi="Arial" w:cs="Arial"/>
          <w:sz w:val="22"/>
          <w:szCs w:val="22"/>
        </w:rPr>
        <w:t>Výzva k předkládání žádostí o dotaci v programu Středočeské inovační vouchery, Podprogram I.</w:t>
      </w:r>
    </w:p>
    <w:p w:rsidR="00AB44ED" w:rsidRDefault="00C6769D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Příloha č. 2 – Žádost o poskytnutí inovačního voucheru (vč. Nabídky poskytnutí služeb od Poskytovatele služeb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VaV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a Čestného prohlášení žadatele o inovační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voucher - Podprogram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I.)</w:t>
      </w:r>
    </w:p>
    <w:p w:rsidR="00AB44ED" w:rsidRDefault="00AB44ED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AB44ED" w:rsidRDefault="00AB44ED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AB44ED" w:rsidRDefault="00AB44ED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AB44ED" w:rsidRDefault="00AB44ED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AB44ED" w:rsidRDefault="00AB44ED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AB44ED" w:rsidRDefault="00AB44ED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AB44ED" w:rsidRDefault="00AB44ED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"/>
        <w:tblW w:w="88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37"/>
        <w:gridCol w:w="4437"/>
      </w:tblGrid>
      <w:tr w:rsidR="00AB44ED">
        <w:trPr>
          <w:trHeight w:val="440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4ED" w:rsidRDefault="00C6769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V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……. dne ……. 2019</w:t>
            </w:r>
          </w:p>
        </w:tc>
        <w:tc>
          <w:tcPr>
            <w:tcW w:w="4437" w:type="dxa"/>
            <w:tcBorders>
              <w:left w:val="nil"/>
            </w:tcBorders>
            <w:shd w:val="clear" w:color="auto" w:fill="auto"/>
            <w:vAlign w:val="center"/>
          </w:tcPr>
          <w:p w:rsidR="00AB44ED" w:rsidRDefault="00C6769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V Praze dne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 2019</w:t>
            </w:r>
          </w:p>
        </w:tc>
      </w:tr>
      <w:tr w:rsidR="00AB44ED">
        <w:trPr>
          <w:trHeight w:val="680"/>
        </w:trPr>
        <w:tc>
          <w:tcPr>
            <w:tcW w:w="4437" w:type="dxa"/>
            <w:tcBorders>
              <w:top w:val="nil"/>
            </w:tcBorders>
            <w:shd w:val="clear" w:color="auto" w:fill="auto"/>
            <w:vAlign w:val="center"/>
          </w:tcPr>
          <w:p w:rsidR="00AB44ED" w:rsidRDefault="00C6769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Příjemce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AB44ED" w:rsidRDefault="00C6769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Poskytovatel dotace</w:t>
            </w:r>
          </w:p>
        </w:tc>
      </w:tr>
      <w:tr w:rsidR="00AB44ED">
        <w:trPr>
          <w:trHeight w:val="720"/>
        </w:trPr>
        <w:tc>
          <w:tcPr>
            <w:tcW w:w="4437" w:type="dxa"/>
            <w:shd w:val="clear" w:color="auto" w:fill="auto"/>
            <w:vAlign w:val="center"/>
          </w:tcPr>
          <w:p w:rsidR="00AB44ED" w:rsidRDefault="00AB44E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:rsidR="00AB44ED" w:rsidRDefault="00AB44E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:rsidR="00AB44ED" w:rsidRDefault="00AB44E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AB44ED" w:rsidRDefault="00AB44E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</w:tr>
      <w:tr w:rsidR="00AB44ED">
        <w:trPr>
          <w:trHeight w:val="740"/>
        </w:trPr>
        <w:tc>
          <w:tcPr>
            <w:tcW w:w="4437" w:type="dxa"/>
            <w:shd w:val="clear" w:color="auto" w:fill="auto"/>
            <w:vAlign w:val="center"/>
          </w:tcPr>
          <w:p w:rsidR="00AB44ED" w:rsidRDefault="00C6769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__________________</w:t>
            </w:r>
          </w:p>
          <w:p w:rsidR="00AB44ED" w:rsidRDefault="00C6769D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yellow"/>
              </w:rPr>
              <w:t>XXXXXX</w:t>
            </w:r>
          </w:p>
          <w:p w:rsidR="00AB44ED" w:rsidRDefault="00AB44E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:rsidR="00AB44ED" w:rsidRDefault="00AB44E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AB44ED" w:rsidRDefault="00C6769D">
            <w:p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_____________________________</w:t>
            </w:r>
          </w:p>
          <w:p w:rsidR="00AB44ED" w:rsidRDefault="005F6AE4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Ing. Marek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Špok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, Ph.D.,</w:t>
            </w:r>
            <w:bookmarkStart w:id="8" w:name="_GoBack"/>
            <w:bookmarkEnd w:id="8"/>
            <w:r w:rsidR="00C6769D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statutární ředitel</w:t>
            </w:r>
          </w:p>
          <w:p w:rsidR="00AB44ED" w:rsidRDefault="00C6769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Středočeské inovační centrum, spolek</w:t>
            </w:r>
          </w:p>
          <w:p w:rsidR="00AB44ED" w:rsidRDefault="00AB44ED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AB44ED" w:rsidRDefault="00C6769D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AB44ED" w:rsidRDefault="00C6769D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Příloha č. 1</w:t>
      </w:r>
    </w:p>
    <w:p w:rsidR="00AB44ED" w:rsidRDefault="00AB44ED">
      <w:pPr>
        <w:jc w:val="right"/>
        <w:rPr>
          <w:rFonts w:ascii="Arial" w:eastAsia="Arial" w:hAnsi="Arial" w:cs="Arial"/>
          <w:b/>
        </w:rPr>
      </w:pPr>
    </w:p>
    <w:p w:rsidR="00AB44ED" w:rsidRDefault="00C6769D">
      <w:pPr>
        <w:spacing w:before="12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Výzva k předkládání žádostí o dotaci v programu Středočeské inovační vouchery, Podprogram I.</w:t>
      </w:r>
    </w:p>
    <w:p w:rsidR="00AB44ED" w:rsidRDefault="00AB44ED">
      <w:pPr>
        <w:spacing w:before="120" w:line="276" w:lineRule="auto"/>
        <w:rPr>
          <w:rFonts w:ascii="Arial" w:eastAsia="Arial" w:hAnsi="Arial" w:cs="Arial"/>
          <w:b/>
          <w:sz w:val="22"/>
          <w:szCs w:val="22"/>
        </w:rPr>
      </w:pPr>
    </w:p>
    <w:p w:rsidR="00AB44ED" w:rsidRDefault="00AB44ED">
      <w:pPr>
        <w:jc w:val="center"/>
        <w:rPr>
          <w:rFonts w:ascii="Arial" w:eastAsia="Arial" w:hAnsi="Arial" w:cs="Arial"/>
          <w:b/>
        </w:rPr>
      </w:pPr>
    </w:p>
    <w:p w:rsidR="00AB44ED" w:rsidRDefault="00C6769D">
      <w:pPr>
        <w:jc w:val="right"/>
        <w:rPr>
          <w:rFonts w:ascii="Arial" w:eastAsia="Arial" w:hAnsi="Arial" w:cs="Arial"/>
          <w:b/>
        </w:rPr>
      </w:pPr>
      <w:r>
        <w:br w:type="page"/>
      </w:r>
    </w:p>
    <w:p w:rsidR="00AB44ED" w:rsidRDefault="00C6769D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Příloha č. 2</w:t>
      </w:r>
    </w:p>
    <w:p w:rsidR="00AB44ED" w:rsidRDefault="00AB44ED">
      <w:pPr>
        <w:jc w:val="both"/>
        <w:rPr>
          <w:rFonts w:ascii="Arial" w:eastAsia="Arial" w:hAnsi="Arial" w:cs="Arial"/>
          <w:b/>
        </w:rPr>
      </w:pPr>
    </w:p>
    <w:p w:rsidR="00AB44ED" w:rsidRDefault="00C6769D">
      <w:pPr>
        <w:spacing w:before="120" w:line="276" w:lineRule="auto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Žádost o poskytnutí inovačního voucheru (vč. Nabídky poskytnutí služeb od Poskytovatele služeb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VaV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a Čestného prohlášení žadatele o inovační </w:t>
      </w:r>
      <w:proofErr w:type="gramStart"/>
      <w:r>
        <w:rPr>
          <w:rFonts w:ascii="Arial" w:eastAsia="Arial" w:hAnsi="Arial" w:cs="Arial"/>
          <w:b/>
          <w:sz w:val="22"/>
          <w:szCs w:val="22"/>
          <w:highlight w:val="white"/>
        </w:rPr>
        <w:t>voucher - Podprogram</w:t>
      </w:r>
      <w:proofErr w:type="gram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I.)</w:t>
      </w:r>
    </w:p>
    <w:p w:rsidR="00AB44ED" w:rsidRDefault="00AB44ED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AB44ED" w:rsidRDefault="00AB44ED">
      <w:pPr>
        <w:spacing w:before="120" w:line="276" w:lineRule="auto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AB44ED" w:rsidRDefault="00AB44ED">
      <w:pPr>
        <w:rPr>
          <w:rFonts w:ascii="Arial" w:eastAsia="Arial" w:hAnsi="Arial" w:cs="Arial"/>
        </w:rPr>
      </w:pPr>
    </w:p>
    <w:p w:rsidR="00AB44ED" w:rsidRDefault="00AB44ED">
      <w:pPr>
        <w:rPr>
          <w:rFonts w:ascii="Arial" w:eastAsia="Arial" w:hAnsi="Arial" w:cs="Arial"/>
        </w:rPr>
      </w:pPr>
    </w:p>
    <w:sectPr w:rsidR="00AB44ED">
      <w:headerReference w:type="default" r:id="rId7"/>
      <w:footerReference w:type="default" r:id="rId8"/>
      <w:pgSz w:w="11906" w:h="16838"/>
      <w:pgMar w:top="1701" w:right="1418" w:bottom="1134" w:left="1418" w:header="454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69D" w:rsidRDefault="00C6769D">
      <w:r>
        <w:separator/>
      </w:r>
    </w:p>
  </w:endnote>
  <w:endnote w:type="continuationSeparator" w:id="0">
    <w:p w:rsidR="00C6769D" w:rsidRDefault="00C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4ED" w:rsidRDefault="00C676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2C3C82"/>
        <w:sz w:val="20"/>
        <w:szCs w:val="20"/>
      </w:rPr>
    </w:pPr>
    <w:r>
      <w:rPr>
        <w:rFonts w:ascii="Arial" w:eastAsia="Arial" w:hAnsi="Arial" w:cs="Arial"/>
        <w:color w:val="2C3C82"/>
        <w:sz w:val="20"/>
        <w:szCs w:val="20"/>
      </w:rPr>
      <w:fldChar w:fldCharType="begin"/>
    </w:r>
    <w:r>
      <w:rPr>
        <w:rFonts w:ascii="Arial" w:eastAsia="Arial" w:hAnsi="Arial" w:cs="Arial"/>
        <w:color w:val="2C3C82"/>
        <w:sz w:val="20"/>
        <w:szCs w:val="20"/>
      </w:rPr>
      <w:instrText>PAGE</w:instrText>
    </w:r>
    <w:r w:rsidR="005F6AE4">
      <w:rPr>
        <w:rFonts w:ascii="Arial" w:eastAsia="Arial" w:hAnsi="Arial" w:cs="Arial"/>
        <w:color w:val="2C3C82"/>
        <w:sz w:val="20"/>
        <w:szCs w:val="20"/>
      </w:rPr>
      <w:fldChar w:fldCharType="separate"/>
    </w:r>
    <w:r w:rsidR="005F6AE4">
      <w:rPr>
        <w:rFonts w:ascii="Arial" w:eastAsia="Arial" w:hAnsi="Arial" w:cs="Arial"/>
        <w:noProof/>
        <w:color w:val="2C3C82"/>
        <w:sz w:val="20"/>
        <w:szCs w:val="20"/>
      </w:rPr>
      <w:t>1</w:t>
    </w:r>
    <w:r>
      <w:rPr>
        <w:rFonts w:ascii="Arial" w:eastAsia="Arial" w:hAnsi="Arial" w:cs="Arial"/>
        <w:color w:val="2C3C82"/>
        <w:sz w:val="20"/>
        <w:szCs w:val="20"/>
      </w:rPr>
      <w:fldChar w:fldCharType="end"/>
    </w:r>
    <w:r>
      <w:rPr>
        <w:rFonts w:ascii="Arial" w:eastAsia="Arial" w:hAnsi="Arial" w:cs="Arial"/>
        <w:color w:val="2C3C82"/>
        <w:sz w:val="20"/>
        <w:szCs w:val="20"/>
      </w:rPr>
      <w:t>/12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4663440</wp:posOffset>
          </wp:positionH>
          <wp:positionV relativeFrom="paragraph">
            <wp:posOffset>2540</wp:posOffset>
          </wp:positionV>
          <wp:extent cx="1204578" cy="2160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578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69D" w:rsidRDefault="00C6769D">
      <w:r>
        <w:separator/>
      </w:r>
    </w:p>
  </w:footnote>
  <w:footnote w:type="continuationSeparator" w:id="0">
    <w:p w:rsidR="00C6769D" w:rsidRDefault="00C6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4ED" w:rsidRDefault="00C676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3811</wp:posOffset>
          </wp:positionH>
          <wp:positionV relativeFrom="paragraph">
            <wp:posOffset>0</wp:posOffset>
          </wp:positionV>
          <wp:extent cx="1429200" cy="3600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2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F72"/>
    <w:multiLevelType w:val="multilevel"/>
    <w:tmpl w:val="725A7C4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3DE"/>
    <w:multiLevelType w:val="multilevel"/>
    <w:tmpl w:val="9C144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BC6842"/>
    <w:multiLevelType w:val="multilevel"/>
    <w:tmpl w:val="E336536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5E3411D"/>
    <w:multiLevelType w:val="multilevel"/>
    <w:tmpl w:val="6F5488D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2C763E"/>
    <w:multiLevelType w:val="multilevel"/>
    <w:tmpl w:val="F7840C4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B4666A4"/>
    <w:multiLevelType w:val="multilevel"/>
    <w:tmpl w:val="FAE8363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CAD1398"/>
    <w:multiLevelType w:val="multilevel"/>
    <w:tmpl w:val="D6ECA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43F11CF"/>
    <w:multiLevelType w:val="multilevel"/>
    <w:tmpl w:val="DE7E12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2712609"/>
    <w:multiLevelType w:val="multilevel"/>
    <w:tmpl w:val="E4E49C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8133AC"/>
    <w:multiLevelType w:val="multilevel"/>
    <w:tmpl w:val="3ADA1E4C"/>
    <w:lvl w:ilvl="0">
      <w:start w:val="1"/>
      <w:numFmt w:val="decimal"/>
      <w:lvlText w:val="%1."/>
      <w:lvlJc w:val="left"/>
      <w:pPr>
        <w:ind w:left="785" w:hanging="360"/>
      </w:pPr>
      <w:rPr>
        <w:rFonts w:ascii="Cambria" w:eastAsia="Cambria" w:hAnsi="Cambria" w:cs="Cambria"/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4B8506C"/>
    <w:multiLevelType w:val="multilevel"/>
    <w:tmpl w:val="1A186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9EC6CCA"/>
    <w:multiLevelType w:val="multilevel"/>
    <w:tmpl w:val="C586267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B9079C7"/>
    <w:multiLevelType w:val="multilevel"/>
    <w:tmpl w:val="2D2EC9F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2237A9B"/>
    <w:multiLevelType w:val="multilevel"/>
    <w:tmpl w:val="B148AEE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669BD"/>
    <w:multiLevelType w:val="multilevel"/>
    <w:tmpl w:val="95C635A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ED"/>
    <w:rsid w:val="005F6AE4"/>
    <w:rsid w:val="00AB44ED"/>
    <w:rsid w:val="00C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8B1E"/>
  <w15:docId w15:val="{26DC0C26-0581-41E0-98A7-A6ADF2D4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3242</Words>
  <Characters>19131</Characters>
  <Application>Microsoft Office Word</Application>
  <DocSecurity>0</DocSecurity>
  <Lines>159</Lines>
  <Paragraphs>44</Paragraphs>
  <ScaleCrop>false</ScaleCrop>
  <Company>Středočeské inovační centrum</Company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Pechlát</cp:lastModifiedBy>
  <cp:revision>2</cp:revision>
  <dcterms:created xsi:type="dcterms:W3CDTF">2019-11-08T13:54:00Z</dcterms:created>
  <dcterms:modified xsi:type="dcterms:W3CDTF">2019-11-08T13:55:00Z</dcterms:modified>
</cp:coreProperties>
</file>