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6E50" w14:textId="77777777" w:rsidR="00777098" w:rsidRPr="00F7318C" w:rsidRDefault="00777098" w:rsidP="00646E79">
      <w:pPr>
        <w:pStyle w:val="Heading1"/>
        <w:spacing w:before="0"/>
        <w:rPr>
          <w:rFonts w:ascii="Gill Sans MT" w:hAnsi="Gill Sans MT"/>
          <w:color w:val="auto"/>
          <w:sz w:val="24"/>
          <w:lang w:val="en-GB"/>
        </w:rPr>
      </w:pPr>
      <w:bookmarkStart w:id="0" w:name="_Toc333433900"/>
      <w:bookmarkStart w:id="1" w:name="_Toc333433707"/>
      <w:bookmarkStart w:id="2" w:name="_Toc332992475"/>
      <w:bookmarkStart w:id="3" w:name="_Toc364184689"/>
      <w:r w:rsidRPr="00F7318C">
        <w:rPr>
          <w:rFonts w:ascii="Gill Sans MT" w:hAnsi="Gill Sans MT"/>
          <w:noProof/>
          <w:color w:val="auto"/>
          <w:sz w:val="24"/>
          <w:lang w:val="en-GB" w:eastAsia="en-GB"/>
        </w:rPr>
        <w:drawing>
          <wp:anchor distT="0" distB="0" distL="114300" distR="114300" simplePos="0" relativeHeight="251657216" behindDoc="0" locked="0" layoutInCell="1" allowOverlap="1" wp14:anchorId="3B7EDBC3" wp14:editId="687D9586">
            <wp:simplePos x="0" y="0"/>
            <wp:positionH relativeFrom="margin">
              <wp:posOffset>3545205</wp:posOffset>
            </wp:positionH>
            <wp:positionV relativeFrom="margin">
              <wp:posOffset>-633095</wp:posOffset>
            </wp:positionV>
            <wp:extent cx="215265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stera-logo.gif"/>
                    <pic:cNvPicPr/>
                  </pic:nvPicPr>
                  <pic:blipFill>
                    <a:blip r:embed="rId11">
                      <a:extLst>
                        <a:ext uri="{28A0092B-C50C-407E-A947-70E740481C1C}">
                          <a14:useLocalDpi xmlns:a14="http://schemas.microsoft.com/office/drawing/2010/main" val="0"/>
                        </a:ext>
                      </a:extLst>
                    </a:blip>
                    <a:stretch>
                      <a:fillRect/>
                    </a:stretch>
                  </pic:blipFill>
                  <pic:spPr>
                    <a:xfrm>
                      <a:off x="0" y="0"/>
                      <a:ext cx="2152650" cy="571500"/>
                    </a:xfrm>
                    <a:prstGeom prst="rect">
                      <a:avLst/>
                    </a:prstGeom>
                  </pic:spPr>
                </pic:pic>
              </a:graphicData>
            </a:graphic>
            <wp14:sizeRelV relativeFrom="margin">
              <wp14:pctHeight>0</wp14:pctHeight>
            </wp14:sizeRelV>
          </wp:anchor>
        </w:drawing>
      </w:r>
    </w:p>
    <w:p w14:paraId="734F53F8" w14:textId="640DE5C9" w:rsidR="005E0D3D" w:rsidRPr="00F7318C" w:rsidRDefault="005E0D3D" w:rsidP="00182EA8">
      <w:pPr>
        <w:pStyle w:val="Heading1"/>
        <w:spacing w:before="0" w:after="240"/>
        <w:jc w:val="both"/>
        <w:rPr>
          <w:rFonts w:ascii="Gill Sans MT" w:hAnsi="Gill Sans MT"/>
          <w:b/>
          <w:color w:val="auto"/>
          <w:lang w:val="en-GB"/>
        </w:rPr>
      </w:pPr>
      <w:r w:rsidRPr="00F7318C">
        <w:rPr>
          <w:rFonts w:ascii="Gill Sans MT" w:hAnsi="Gill Sans MT"/>
          <w:b/>
          <w:color w:val="auto"/>
          <w:lang w:val="en-GB"/>
        </w:rPr>
        <w:t xml:space="preserve">CHIST-ERA </w:t>
      </w:r>
      <w:r w:rsidR="006429ED" w:rsidRPr="00F7318C">
        <w:rPr>
          <w:rFonts w:ascii="Gill Sans MT" w:hAnsi="Gill Sans MT"/>
          <w:b/>
          <w:color w:val="auto"/>
          <w:lang w:val="en-GB"/>
        </w:rPr>
        <w:t>C</w:t>
      </w:r>
      <w:r w:rsidR="008E7F4F" w:rsidRPr="00F7318C">
        <w:rPr>
          <w:rFonts w:ascii="Gill Sans MT" w:hAnsi="Gill Sans MT"/>
          <w:b/>
          <w:color w:val="auto"/>
          <w:lang w:val="en-GB"/>
        </w:rPr>
        <w:t xml:space="preserve">all </w:t>
      </w:r>
      <w:r w:rsidRPr="00F7318C">
        <w:rPr>
          <w:rFonts w:ascii="Gill Sans MT" w:hAnsi="Gill Sans MT"/>
          <w:b/>
          <w:color w:val="auto"/>
          <w:lang w:val="en-GB"/>
        </w:rPr>
        <w:t>201</w:t>
      </w:r>
      <w:r w:rsidR="00981E04">
        <w:rPr>
          <w:rFonts w:ascii="Gill Sans MT" w:hAnsi="Gill Sans MT"/>
          <w:b/>
          <w:color w:val="auto"/>
          <w:lang w:val="en-GB"/>
        </w:rPr>
        <w:t>7</w:t>
      </w:r>
      <w:r w:rsidR="006429ED" w:rsidRPr="00F7318C">
        <w:rPr>
          <w:rFonts w:ascii="Gill Sans MT" w:hAnsi="Gill Sans MT"/>
          <w:b/>
          <w:color w:val="auto"/>
          <w:lang w:val="en-GB"/>
        </w:rPr>
        <w:t xml:space="preserve"> P</w:t>
      </w:r>
      <w:r w:rsidR="008E7F4F" w:rsidRPr="00F7318C">
        <w:rPr>
          <w:rFonts w:ascii="Gill Sans MT" w:hAnsi="Gill Sans MT"/>
          <w:b/>
          <w:color w:val="auto"/>
          <w:lang w:val="en-GB"/>
        </w:rPr>
        <w:t>re-announcement</w:t>
      </w:r>
    </w:p>
    <w:p w14:paraId="70BE74BC" w14:textId="5C3AC19F" w:rsidR="005E0D3D" w:rsidRPr="00F7318C" w:rsidRDefault="00B6335F" w:rsidP="00CA0C84">
      <w:pPr>
        <w:jc w:val="both"/>
        <w:rPr>
          <w:lang w:val="en-GB"/>
        </w:rPr>
      </w:pPr>
      <w:r>
        <w:rPr>
          <w:lang w:val="en-GB"/>
        </w:rPr>
        <w:t>The CHIST-ERA C</w:t>
      </w:r>
      <w:r w:rsidR="008E7F4F" w:rsidRPr="00F7318C">
        <w:rPr>
          <w:lang w:val="en-GB"/>
        </w:rPr>
        <w:t>all 201</w:t>
      </w:r>
      <w:r w:rsidR="00981E04">
        <w:rPr>
          <w:lang w:val="en-GB"/>
        </w:rPr>
        <w:t>7</w:t>
      </w:r>
      <w:r w:rsidR="00140C69">
        <w:rPr>
          <w:lang w:val="en-GB"/>
        </w:rPr>
        <w:t xml:space="preserve">, to </w:t>
      </w:r>
      <w:proofErr w:type="gramStart"/>
      <w:r w:rsidR="00140C69">
        <w:rPr>
          <w:lang w:val="en-GB"/>
        </w:rPr>
        <w:t>be</w:t>
      </w:r>
      <w:r w:rsidR="008E7F4F" w:rsidRPr="00F7318C">
        <w:rPr>
          <w:lang w:val="en-GB"/>
        </w:rPr>
        <w:t xml:space="preserve"> published</w:t>
      </w:r>
      <w:proofErr w:type="gramEnd"/>
      <w:r w:rsidR="008E7F4F" w:rsidRPr="00F7318C">
        <w:rPr>
          <w:lang w:val="en-GB"/>
        </w:rPr>
        <w:t xml:space="preserve"> </w:t>
      </w:r>
      <w:r w:rsidR="00C267BE">
        <w:rPr>
          <w:lang w:val="en-GB"/>
        </w:rPr>
        <w:t>in</w:t>
      </w:r>
      <w:r w:rsidR="00550EAC">
        <w:rPr>
          <w:lang w:val="en-GB"/>
        </w:rPr>
        <w:t xml:space="preserve"> </w:t>
      </w:r>
      <w:r w:rsidR="008E7F4F" w:rsidRPr="00F7318C">
        <w:rPr>
          <w:lang w:val="en-GB"/>
        </w:rPr>
        <w:t>October</w:t>
      </w:r>
      <w:r w:rsidR="008B017B">
        <w:rPr>
          <w:lang w:val="en-GB"/>
        </w:rPr>
        <w:t xml:space="preserve"> 201</w:t>
      </w:r>
      <w:r w:rsidR="00981E04">
        <w:rPr>
          <w:lang w:val="en-GB"/>
        </w:rPr>
        <w:t>7</w:t>
      </w:r>
      <w:r w:rsidR="00140C69">
        <w:rPr>
          <w:lang w:val="en-GB"/>
        </w:rPr>
        <w:t>,</w:t>
      </w:r>
      <w:r w:rsidR="00C40EAD" w:rsidRPr="00F7318C">
        <w:rPr>
          <w:lang w:val="en-GB"/>
        </w:rPr>
        <w:t xml:space="preserve"> will target research in the following topics:</w:t>
      </w:r>
    </w:p>
    <w:p w14:paraId="559155D1" w14:textId="5B477D2C" w:rsidR="00C40EAD" w:rsidRPr="00F7318C" w:rsidRDefault="00981E04" w:rsidP="00981E04">
      <w:pPr>
        <w:pStyle w:val="ListParagraph"/>
        <w:numPr>
          <w:ilvl w:val="0"/>
          <w:numId w:val="6"/>
        </w:numPr>
        <w:jc w:val="both"/>
        <w:rPr>
          <w:lang w:val="en-GB"/>
        </w:rPr>
      </w:pPr>
      <w:r w:rsidRPr="00981E04">
        <w:rPr>
          <w:lang w:val="en-GB"/>
        </w:rPr>
        <w:t>Object recognition and manipulation by robots: Data sharing and experiment reproducibility (ORMR)</w:t>
      </w:r>
    </w:p>
    <w:p w14:paraId="43962724" w14:textId="05F46222" w:rsidR="00C40EAD" w:rsidRPr="00140C69" w:rsidRDefault="00D804FF" w:rsidP="00981E04">
      <w:pPr>
        <w:pStyle w:val="ListParagraph"/>
        <w:numPr>
          <w:ilvl w:val="0"/>
          <w:numId w:val="6"/>
        </w:numPr>
        <w:rPr>
          <w:lang w:val="en-GB"/>
        </w:rPr>
      </w:pPr>
      <w:r>
        <w:rPr>
          <w:lang w:val="en-GB"/>
        </w:rPr>
        <w:t>B</w:t>
      </w:r>
      <w:r w:rsidR="001366EF" w:rsidRPr="001366EF">
        <w:rPr>
          <w:lang w:val="en-GB"/>
        </w:rPr>
        <w:t>ig data and proces</w:t>
      </w:r>
      <w:r w:rsidR="007A2551">
        <w:rPr>
          <w:lang w:val="en-GB"/>
        </w:rPr>
        <w:t>s modelling for smart industry</w:t>
      </w:r>
      <w:r>
        <w:rPr>
          <w:lang w:val="en-GB"/>
        </w:rPr>
        <w:t xml:space="preserve"> (</w:t>
      </w:r>
      <w:r w:rsidR="00981E04" w:rsidRPr="00981E04">
        <w:rPr>
          <w:lang w:val="en-GB"/>
        </w:rPr>
        <w:t>BD</w:t>
      </w:r>
      <w:r w:rsidR="001366EF">
        <w:rPr>
          <w:lang w:val="en-GB"/>
        </w:rPr>
        <w:t>SI</w:t>
      </w:r>
      <w:r w:rsidR="00981E04" w:rsidRPr="00981E04">
        <w:rPr>
          <w:lang w:val="en-GB"/>
        </w:rPr>
        <w:t>)</w:t>
      </w:r>
    </w:p>
    <w:p w14:paraId="72685F59" w14:textId="2DD07D78" w:rsidR="00C40EAD" w:rsidRPr="00F7318C" w:rsidRDefault="00C40EAD" w:rsidP="00CA0C84">
      <w:pPr>
        <w:jc w:val="both"/>
        <w:rPr>
          <w:lang w:val="en-GB"/>
        </w:rPr>
      </w:pPr>
      <w:r w:rsidRPr="00F7318C">
        <w:rPr>
          <w:lang w:val="en-GB"/>
        </w:rPr>
        <w:t xml:space="preserve">The </w:t>
      </w:r>
      <w:proofErr w:type="gramStart"/>
      <w:r w:rsidRPr="00F7318C">
        <w:rPr>
          <w:lang w:val="en-GB"/>
        </w:rPr>
        <w:t>details of the research targeted in the call have been defined by the research community</w:t>
      </w:r>
      <w:proofErr w:type="gramEnd"/>
      <w:r w:rsidRPr="00F7318C">
        <w:rPr>
          <w:lang w:val="en-GB"/>
        </w:rPr>
        <w:t xml:space="preserve"> during the </w:t>
      </w:r>
      <w:hyperlink r:id="rId12" w:history="1">
        <w:r w:rsidR="00437D45">
          <w:rPr>
            <w:rStyle w:val="Hyperlink"/>
            <w:lang w:val="en-GB"/>
          </w:rPr>
          <w:t>CHIST-ERA Conference 2017</w:t>
        </w:r>
      </w:hyperlink>
      <w:r w:rsidRPr="00F7318C">
        <w:rPr>
          <w:lang w:val="en-GB"/>
        </w:rPr>
        <w:t>, an event that was open to all interested researchers.</w:t>
      </w:r>
    </w:p>
    <w:p w14:paraId="291EE048" w14:textId="591741BA" w:rsidR="00C40EAD" w:rsidRDefault="008E7F4F" w:rsidP="00CA0C84">
      <w:pPr>
        <w:jc w:val="both"/>
        <w:rPr>
          <w:lang w:val="en-GB"/>
        </w:rPr>
      </w:pPr>
      <w:r w:rsidRPr="00F7318C">
        <w:rPr>
          <w:lang w:val="en-GB"/>
        </w:rPr>
        <w:t>Th</w:t>
      </w:r>
      <w:r w:rsidR="00D032D7">
        <w:rPr>
          <w:lang w:val="en-GB"/>
        </w:rPr>
        <w:t xml:space="preserve">e </w:t>
      </w:r>
      <w:r w:rsidR="00504F9C">
        <w:rPr>
          <w:lang w:val="en-GB"/>
        </w:rPr>
        <w:t xml:space="preserve">present </w:t>
      </w:r>
      <w:r w:rsidR="00D032D7">
        <w:rPr>
          <w:lang w:val="en-GB"/>
        </w:rPr>
        <w:t>Call 201</w:t>
      </w:r>
      <w:r w:rsidR="00437D45">
        <w:rPr>
          <w:lang w:val="en-GB"/>
        </w:rPr>
        <w:t>7</w:t>
      </w:r>
      <w:r w:rsidR="00D032D7">
        <w:rPr>
          <w:lang w:val="en-GB"/>
        </w:rPr>
        <w:t xml:space="preserve"> Pre-announcement </w:t>
      </w:r>
      <w:r w:rsidRPr="00F7318C">
        <w:rPr>
          <w:lang w:val="en-GB"/>
        </w:rPr>
        <w:t xml:space="preserve">gives an overview of the research </w:t>
      </w:r>
      <w:r w:rsidR="00C40EAD" w:rsidRPr="00F7318C">
        <w:rPr>
          <w:lang w:val="en-GB"/>
        </w:rPr>
        <w:t xml:space="preserve">themes that have emerged during the </w:t>
      </w:r>
      <w:r w:rsidR="00B6335F">
        <w:rPr>
          <w:lang w:val="en-GB"/>
        </w:rPr>
        <w:t>conference</w:t>
      </w:r>
      <w:r w:rsidR="00F7318C" w:rsidRPr="00F7318C">
        <w:rPr>
          <w:lang w:val="en-GB"/>
        </w:rPr>
        <w:t xml:space="preserve"> (see </w:t>
      </w:r>
      <w:r w:rsidR="00504F9C">
        <w:rPr>
          <w:lang w:val="en-GB"/>
        </w:rPr>
        <w:t xml:space="preserve">the </w:t>
      </w:r>
      <w:r w:rsidR="005A5AAC">
        <w:rPr>
          <w:lang w:val="en-GB"/>
        </w:rPr>
        <w:t xml:space="preserve">following </w:t>
      </w:r>
      <w:r w:rsidR="00F7318C" w:rsidRPr="00F7318C">
        <w:rPr>
          <w:lang w:val="en-GB"/>
        </w:rPr>
        <w:t>pages)</w:t>
      </w:r>
      <w:r w:rsidR="00C40EAD" w:rsidRPr="00F7318C">
        <w:rPr>
          <w:lang w:val="en-GB"/>
        </w:rPr>
        <w:t>.</w:t>
      </w:r>
    </w:p>
    <w:p w14:paraId="208EE2E1" w14:textId="40EAE359" w:rsidR="00707D5C" w:rsidRPr="00F7318C" w:rsidRDefault="00707D5C" w:rsidP="000A1B6F">
      <w:pPr>
        <w:jc w:val="center"/>
        <w:rPr>
          <w:lang w:val="en-GB"/>
        </w:rPr>
      </w:pPr>
      <w:r>
        <w:rPr>
          <w:lang w:val="en-GB"/>
        </w:rPr>
        <w:t>Anticipated Call deadline: 1</w:t>
      </w:r>
      <w:r w:rsidR="00437D45">
        <w:rPr>
          <w:lang w:val="en-GB"/>
        </w:rPr>
        <w:t>1</w:t>
      </w:r>
      <w:r w:rsidRPr="00762E40">
        <w:rPr>
          <w:vertAlign w:val="superscript"/>
          <w:lang w:val="en-GB"/>
        </w:rPr>
        <w:t>th</w:t>
      </w:r>
      <w:r>
        <w:rPr>
          <w:lang w:val="en-GB"/>
        </w:rPr>
        <w:t xml:space="preserve"> of January 201</w:t>
      </w:r>
      <w:r w:rsidR="00437D45">
        <w:rPr>
          <w:lang w:val="en-GB"/>
        </w:rPr>
        <w:t>8</w:t>
      </w:r>
    </w:p>
    <w:p w14:paraId="24A29879" w14:textId="7B927072" w:rsidR="00386F57" w:rsidRDefault="008E7F4F" w:rsidP="00930F0F">
      <w:pPr>
        <w:spacing w:after="60"/>
        <w:jc w:val="both"/>
        <w:rPr>
          <w:lang w:val="en-GB"/>
        </w:rPr>
      </w:pPr>
      <w:r w:rsidRPr="00F7318C">
        <w:rPr>
          <w:lang w:val="en-GB"/>
        </w:rPr>
        <w:t xml:space="preserve">Researchers are encouraged to start discussing possible projects with prospective partners. </w:t>
      </w:r>
      <w:r w:rsidR="00C13DB8" w:rsidRPr="00C13DB8">
        <w:rPr>
          <w:lang w:val="en-GB"/>
        </w:rPr>
        <w:t xml:space="preserve">The call will require that </w:t>
      </w:r>
      <w:proofErr w:type="gramStart"/>
      <w:r w:rsidR="00C13DB8" w:rsidRPr="00C13DB8">
        <w:rPr>
          <w:lang w:val="en-GB"/>
        </w:rPr>
        <w:t>projects are submitted by international consorti</w:t>
      </w:r>
      <w:r w:rsidR="00831D55">
        <w:rPr>
          <w:lang w:val="en-GB"/>
        </w:rPr>
        <w:t>a</w:t>
      </w:r>
      <w:proofErr w:type="gramEnd"/>
      <w:r w:rsidR="00C13DB8" w:rsidRPr="00C13DB8">
        <w:rPr>
          <w:lang w:val="en-GB"/>
        </w:rPr>
        <w:t xml:space="preserve"> with partners in at least three </w:t>
      </w:r>
      <w:r w:rsidR="00640643">
        <w:rPr>
          <w:lang w:val="en-GB"/>
        </w:rPr>
        <w:t>participating</w:t>
      </w:r>
      <w:r w:rsidR="00C13DB8" w:rsidRPr="00C13DB8">
        <w:rPr>
          <w:lang w:val="en-GB"/>
        </w:rPr>
        <w:t xml:space="preserve"> countries</w:t>
      </w:r>
      <w:r w:rsidR="00640643">
        <w:rPr>
          <w:lang w:val="en-GB"/>
        </w:rPr>
        <w:t>.</w:t>
      </w:r>
      <w:r w:rsidR="00C13DB8" w:rsidRPr="00C13DB8">
        <w:rPr>
          <w:lang w:val="en-GB"/>
        </w:rPr>
        <w:t xml:space="preserve"> </w:t>
      </w:r>
      <w:r w:rsidR="00640643">
        <w:rPr>
          <w:lang w:val="en-GB"/>
        </w:rPr>
        <w:t>A</w:t>
      </w:r>
      <w:r w:rsidR="00C13DB8" w:rsidRPr="00C13DB8">
        <w:rPr>
          <w:lang w:val="en-GB"/>
        </w:rPr>
        <w:t>dditional partners from other countries may be part of a co</w:t>
      </w:r>
      <w:r w:rsidR="00D032D7">
        <w:rPr>
          <w:lang w:val="en-GB"/>
        </w:rPr>
        <w:t xml:space="preserve">nsortium if they </w:t>
      </w:r>
      <w:proofErr w:type="gramStart"/>
      <w:r w:rsidR="00D032D7">
        <w:rPr>
          <w:lang w:val="en-GB"/>
        </w:rPr>
        <w:t>can</w:t>
      </w:r>
      <w:proofErr w:type="gramEnd"/>
      <w:r w:rsidR="00D032D7">
        <w:rPr>
          <w:lang w:val="en-GB"/>
        </w:rPr>
        <w:t xml:space="preserve"> secure their</w:t>
      </w:r>
      <w:r w:rsidR="00C13DB8" w:rsidRPr="00C13DB8">
        <w:rPr>
          <w:lang w:val="en-GB"/>
        </w:rPr>
        <w:t xml:space="preserve"> own funding</w:t>
      </w:r>
      <w:r w:rsidR="00640643">
        <w:rPr>
          <w:lang w:val="en-GB"/>
        </w:rPr>
        <w:t>. The list</w:t>
      </w:r>
      <w:r w:rsidR="0058121D">
        <w:rPr>
          <w:lang w:val="en-GB"/>
        </w:rPr>
        <w:t xml:space="preserve"> of</w:t>
      </w:r>
      <w:r w:rsidR="00640643">
        <w:rPr>
          <w:lang w:val="en-GB"/>
        </w:rPr>
        <w:t xml:space="preserve"> </w:t>
      </w:r>
      <w:r w:rsidR="0058121D">
        <w:rPr>
          <w:lang w:val="en-GB"/>
        </w:rPr>
        <w:t xml:space="preserve">countries </w:t>
      </w:r>
      <w:r w:rsidR="00DA13B9">
        <w:rPr>
          <w:lang w:val="en-GB"/>
        </w:rPr>
        <w:t>and</w:t>
      </w:r>
      <w:r w:rsidR="00B02025">
        <w:rPr>
          <w:lang w:val="en-GB"/>
        </w:rPr>
        <w:t xml:space="preserve"> funding </w:t>
      </w:r>
      <w:proofErr w:type="gramStart"/>
      <w:r w:rsidR="00B02025">
        <w:rPr>
          <w:lang w:val="en-GB"/>
        </w:rPr>
        <w:t>organis</w:t>
      </w:r>
      <w:r w:rsidR="0058121D">
        <w:rPr>
          <w:lang w:val="en-GB"/>
        </w:rPr>
        <w:t xml:space="preserve">ations </w:t>
      </w:r>
      <w:r w:rsidR="00A534F2">
        <w:rPr>
          <w:lang w:val="en-GB"/>
        </w:rPr>
        <w:t>which</w:t>
      </w:r>
      <w:r w:rsidR="00640643">
        <w:rPr>
          <w:lang w:val="en-GB"/>
        </w:rPr>
        <w:t xml:space="preserve"> have shown preliminary interest in participating in the Call 201</w:t>
      </w:r>
      <w:r w:rsidR="00437D45">
        <w:rPr>
          <w:lang w:val="en-GB"/>
        </w:rPr>
        <w:t>7</w:t>
      </w:r>
      <w:proofErr w:type="gramEnd"/>
      <w:r w:rsidR="0058121D">
        <w:rPr>
          <w:lang w:val="en-GB"/>
        </w:rPr>
        <w:t xml:space="preserve"> is provided below</w:t>
      </w:r>
      <w:r w:rsidR="003A52C4">
        <w:rPr>
          <w:lang w:val="en-GB"/>
        </w:rPr>
        <w:t>.</w:t>
      </w:r>
    </w:p>
    <w:tbl>
      <w:tblPr>
        <w:tblStyle w:val="LightShading"/>
        <w:tblW w:w="5000" w:type="pct"/>
        <w:jc w:val="center"/>
        <w:tblLayout w:type="fixed"/>
        <w:tblCellMar>
          <w:top w:w="57" w:type="dxa"/>
          <w:bottom w:w="57" w:type="dxa"/>
        </w:tblCellMar>
        <w:tblLook w:val="04A0" w:firstRow="1" w:lastRow="0" w:firstColumn="1" w:lastColumn="0" w:noHBand="0" w:noVBand="1"/>
      </w:tblPr>
      <w:tblGrid>
        <w:gridCol w:w="1843"/>
        <w:gridCol w:w="2693"/>
        <w:gridCol w:w="2268"/>
        <w:gridCol w:w="2268"/>
      </w:tblGrid>
      <w:tr w:rsidR="00E055F3" w:rsidRPr="00E14E2D" w14:paraId="0720C795" w14:textId="77777777" w:rsidTr="00182E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Borders>
              <w:top w:val="nil"/>
            </w:tcBorders>
            <w:vAlign w:val="center"/>
          </w:tcPr>
          <w:p w14:paraId="0A7DDECF" w14:textId="77777777" w:rsidR="00E055F3" w:rsidRPr="00890302" w:rsidRDefault="00E055F3" w:rsidP="00794A67">
            <w:pPr>
              <w:keepLines/>
              <w:spacing w:before="100" w:beforeAutospacing="1" w:after="100" w:afterAutospacing="1" w:line="200" w:lineRule="exact"/>
              <w:ind w:left="91"/>
              <w:jc w:val="center"/>
              <w:rPr>
                <w:rFonts w:cstheme="minorHAnsi"/>
                <w:sz w:val="20"/>
                <w:szCs w:val="20"/>
                <w:lang w:val="en-GB"/>
              </w:rPr>
            </w:pPr>
            <w:r w:rsidRPr="00890302">
              <w:rPr>
                <w:rFonts w:cstheme="minorHAnsi"/>
                <w:sz w:val="20"/>
                <w:szCs w:val="20"/>
                <w:lang w:val="en-GB"/>
              </w:rPr>
              <w:t>Country</w:t>
            </w:r>
          </w:p>
        </w:tc>
        <w:tc>
          <w:tcPr>
            <w:tcW w:w="1484" w:type="pct"/>
            <w:tcBorders>
              <w:top w:val="nil"/>
              <w:right w:val="single" w:sz="4" w:space="0" w:color="auto"/>
            </w:tcBorders>
            <w:vAlign w:val="center"/>
          </w:tcPr>
          <w:p w14:paraId="19D97455" w14:textId="77777777" w:rsidR="00E055F3" w:rsidRPr="00890302" w:rsidRDefault="00E055F3" w:rsidP="00794A67">
            <w:pPr>
              <w:keepLines/>
              <w:spacing w:before="100" w:beforeAutospacing="1" w:after="100" w:afterAutospacing="1" w:line="200" w:lineRule="exact"/>
              <w:ind w:left="91"/>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Funding O</w:t>
            </w:r>
            <w:r w:rsidRPr="00E14E2D">
              <w:rPr>
                <w:rFonts w:cstheme="minorHAnsi"/>
                <w:sz w:val="20"/>
                <w:szCs w:val="20"/>
                <w:lang w:val="en-GB"/>
              </w:rPr>
              <w:t>rgani</w:t>
            </w:r>
            <w:r>
              <w:rPr>
                <w:rFonts w:cstheme="minorHAnsi"/>
                <w:sz w:val="20"/>
                <w:szCs w:val="20"/>
                <w:lang w:val="en-GB"/>
              </w:rPr>
              <w:t>s</w:t>
            </w:r>
            <w:r w:rsidRPr="00E14E2D">
              <w:rPr>
                <w:rFonts w:cstheme="minorHAnsi"/>
                <w:sz w:val="20"/>
                <w:szCs w:val="20"/>
                <w:lang w:val="en-GB"/>
              </w:rPr>
              <w:t>ation</w:t>
            </w:r>
          </w:p>
        </w:tc>
        <w:tc>
          <w:tcPr>
            <w:tcW w:w="1250" w:type="pct"/>
            <w:tcBorders>
              <w:top w:val="nil"/>
              <w:left w:val="single" w:sz="4" w:space="0" w:color="auto"/>
            </w:tcBorders>
            <w:vAlign w:val="center"/>
          </w:tcPr>
          <w:p w14:paraId="46509F25" w14:textId="317748E0" w:rsidR="00E055F3" w:rsidRPr="000F4DA4" w:rsidRDefault="001366EF" w:rsidP="001366EF">
            <w:pPr>
              <w:keepLines/>
              <w:spacing w:before="100" w:beforeAutospacing="1" w:after="100" w:afterAutospacing="1" w:line="200" w:lineRule="exact"/>
              <w:ind w:left="91"/>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ORMR</w:t>
            </w:r>
          </w:p>
        </w:tc>
        <w:tc>
          <w:tcPr>
            <w:tcW w:w="1250" w:type="pct"/>
            <w:tcBorders>
              <w:top w:val="nil"/>
            </w:tcBorders>
            <w:vAlign w:val="center"/>
          </w:tcPr>
          <w:p w14:paraId="1DF6261C" w14:textId="570A6824" w:rsidR="00E055F3" w:rsidRPr="000F4DA4" w:rsidRDefault="001366EF" w:rsidP="001366EF">
            <w:pPr>
              <w:keepLines/>
              <w:spacing w:before="100" w:beforeAutospacing="1" w:after="100" w:afterAutospacing="1" w:line="200" w:lineRule="exact"/>
              <w:ind w:left="91"/>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BDSI</w:t>
            </w:r>
          </w:p>
        </w:tc>
      </w:tr>
      <w:tr w:rsidR="00E055F3" w:rsidRPr="00E14E2D" w14:paraId="75AB7289"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0F955694"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rFonts w:cstheme="minorHAnsi"/>
                <w:b w:val="0"/>
                <w:sz w:val="20"/>
                <w:szCs w:val="20"/>
                <w:lang w:val="en-GB"/>
              </w:rPr>
              <w:t>AT</w:t>
            </w:r>
            <w:bookmarkStart w:id="4" w:name="_GoBack"/>
            <w:bookmarkEnd w:id="4"/>
          </w:p>
        </w:tc>
        <w:tc>
          <w:tcPr>
            <w:tcW w:w="1484" w:type="pct"/>
            <w:tcBorders>
              <w:right w:val="single" w:sz="4" w:space="0" w:color="auto"/>
            </w:tcBorders>
          </w:tcPr>
          <w:p w14:paraId="6F272F20" w14:textId="77777777" w:rsidR="00E055F3" w:rsidRPr="00DA7330"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FWF</w:t>
            </w:r>
          </w:p>
        </w:tc>
        <w:tc>
          <w:tcPr>
            <w:tcW w:w="1250" w:type="pct"/>
            <w:tcBorders>
              <w:left w:val="single" w:sz="4" w:space="0" w:color="auto"/>
            </w:tcBorders>
          </w:tcPr>
          <w:p w14:paraId="4D47C3C7"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552E8B86" w14:textId="74DD1C5E" w:rsidR="00E055F3" w:rsidRPr="000F4DA4" w:rsidRDefault="003D17A1" w:rsidP="003D17A1">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No</w:t>
            </w:r>
          </w:p>
        </w:tc>
      </w:tr>
      <w:tr w:rsidR="00E055F3" w:rsidRPr="00E14E2D" w14:paraId="5CF3D824"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Borders>
              <w:right w:val="nil"/>
            </w:tcBorders>
          </w:tcPr>
          <w:p w14:paraId="4D55F053" w14:textId="77777777" w:rsidR="00E055F3" w:rsidRPr="00DA7330" w:rsidRDefault="00E055F3" w:rsidP="00794A67">
            <w:pPr>
              <w:keepLines/>
              <w:spacing w:before="100" w:beforeAutospacing="1" w:after="100" w:afterAutospacing="1" w:line="200" w:lineRule="exact"/>
              <w:ind w:left="88"/>
              <w:jc w:val="center"/>
              <w:rPr>
                <w:rFonts w:cstheme="minorHAnsi"/>
                <w:b w:val="0"/>
                <w:sz w:val="20"/>
                <w:szCs w:val="20"/>
                <w:lang w:val="en-GB"/>
              </w:rPr>
            </w:pPr>
            <w:r w:rsidRPr="00DA7330">
              <w:rPr>
                <w:rFonts w:cstheme="minorHAnsi"/>
                <w:b w:val="0"/>
                <w:sz w:val="20"/>
                <w:szCs w:val="20"/>
                <w:lang w:val="en-GB"/>
              </w:rPr>
              <w:t>BE</w:t>
            </w:r>
          </w:p>
        </w:tc>
        <w:tc>
          <w:tcPr>
            <w:tcW w:w="1484" w:type="pct"/>
            <w:tcBorders>
              <w:left w:val="nil"/>
              <w:right w:val="single" w:sz="4" w:space="0" w:color="auto"/>
            </w:tcBorders>
          </w:tcPr>
          <w:p w14:paraId="74F1720C" w14:textId="77777777" w:rsidR="00E055F3" w:rsidRPr="00DA7330"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rFonts w:cstheme="minorHAnsi"/>
                <w:sz w:val="20"/>
                <w:szCs w:val="20"/>
                <w:lang w:val="en-GB"/>
              </w:rPr>
              <w:t>FNRS</w:t>
            </w:r>
          </w:p>
        </w:tc>
        <w:tc>
          <w:tcPr>
            <w:tcW w:w="1250" w:type="pct"/>
            <w:tcBorders>
              <w:left w:val="single" w:sz="4" w:space="0" w:color="auto"/>
            </w:tcBorders>
          </w:tcPr>
          <w:p w14:paraId="6DB124A7" w14:textId="77777777" w:rsidR="00E055F3" w:rsidRPr="000F4DA4"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3FD802E5" w14:textId="77777777" w:rsidR="00E055F3" w:rsidRPr="000F4DA4"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E055F3" w:rsidRPr="00E14E2D" w14:paraId="1613E982"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11B7CBD3" w14:textId="77777777" w:rsidR="00E055F3" w:rsidRPr="00DA7330" w:rsidRDefault="00E055F3" w:rsidP="00794A67">
            <w:pPr>
              <w:keepLines/>
              <w:spacing w:before="100" w:beforeAutospacing="1" w:after="100" w:afterAutospacing="1" w:line="200" w:lineRule="exact"/>
              <w:ind w:left="88"/>
              <w:jc w:val="center"/>
              <w:rPr>
                <w:rFonts w:cstheme="minorHAnsi"/>
                <w:b w:val="0"/>
                <w:sz w:val="20"/>
                <w:szCs w:val="20"/>
                <w:lang w:val="en-GB"/>
              </w:rPr>
            </w:pPr>
            <w:r w:rsidRPr="00DA7330">
              <w:rPr>
                <w:rFonts w:cstheme="minorHAnsi"/>
                <w:b w:val="0"/>
                <w:sz w:val="20"/>
                <w:szCs w:val="20"/>
                <w:lang w:val="en-GB"/>
              </w:rPr>
              <w:t>BG</w:t>
            </w:r>
          </w:p>
        </w:tc>
        <w:tc>
          <w:tcPr>
            <w:tcW w:w="1484" w:type="pct"/>
            <w:tcBorders>
              <w:right w:val="single" w:sz="4" w:space="0" w:color="auto"/>
            </w:tcBorders>
          </w:tcPr>
          <w:p w14:paraId="531322F6" w14:textId="77777777" w:rsidR="00E055F3" w:rsidRPr="00DA7330"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BNSF</w:t>
            </w:r>
          </w:p>
        </w:tc>
        <w:tc>
          <w:tcPr>
            <w:tcW w:w="1250" w:type="pct"/>
            <w:tcBorders>
              <w:left w:val="single" w:sz="4" w:space="0" w:color="auto"/>
            </w:tcBorders>
          </w:tcPr>
          <w:p w14:paraId="203111E2" w14:textId="77777777" w:rsidR="00E055F3"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1587CEC4" w14:textId="77777777" w:rsidR="00E055F3"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E14E2D" w14:paraId="5D53060F"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Borders>
              <w:right w:val="nil"/>
            </w:tcBorders>
          </w:tcPr>
          <w:p w14:paraId="14F1CB77" w14:textId="77777777" w:rsidR="00E055F3" w:rsidRPr="00DA7330" w:rsidRDefault="00E055F3" w:rsidP="00794A67">
            <w:pPr>
              <w:keepLines/>
              <w:spacing w:before="100" w:beforeAutospacing="1" w:after="100" w:afterAutospacing="1" w:line="200" w:lineRule="exact"/>
              <w:ind w:left="88"/>
              <w:jc w:val="center"/>
              <w:rPr>
                <w:rFonts w:cstheme="minorHAnsi"/>
                <w:b w:val="0"/>
                <w:sz w:val="20"/>
                <w:szCs w:val="20"/>
                <w:lang w:val="en-GB"/>
              </w:rPr>
            </w:pPr>
            <w:r w:rsidRPr="00DA7330">
              <w:rPr>
                <w:b w:val="0"/>
                <w:sz w:val="20"/>
                <w:szCs w:val="20"/>
                <w:lang w:val="en-GB"/>
              </w:rPr>
              <w:t>CA</w:t>
            </w:r>
          </w:p>
        </w:tc>
        <w:tc>
          <w:tcPr>
            <w:tcW w:w="1484" w:type="pct"/>
            <w:tcBorders>
              <w:left w:val="nil"/>
              <w:right w:val="single" w:sz="4" w:space="0" w:color="auto"/>
            </w:tcBorders>
          </w:tcPr>
          <w:p w14:paraId="1B17404A" w14:textId="77777777" w:rsidR="00E055F3" w:rsidRPr="00DA7330"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sz w:val="20"/>
                <w:szCs w:val="20"/>
                <w:lang w:val="en-GB"/>
              </w:rPr>
              <w:t>FRQNT</w:t>
            </w:r>
          </w:p>
        </w:tc>
        <w:tc>
          <w:tcPr>
            <w:tcW w:w="1250" w:type="pct"/>
            <w:tcBorders>
              <w:left w:val="single" w:sz="4" w:space="0" w:color="auto"/>
            </w:tcBorders>
          </w:tcPr>
          <w:p w14:paraId="660A293A" w14:textId="77777777" w:rsidR="00E055F3"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2EDC87D0" w14:textId="77777777" w:rsidR="00E055F3"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E14E2D" w14:paraId="092FB746"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551C62F0" w14:textId="77777777" w:rsidR="00E055F3" w:rsidRPr="00DA7330" w:rsidRDefault="00E055F3" w:rsidP="00794A67">
            <w:pPr>
              <w:keepLines/>
              <w:spacing w:before="100" w:beforeAutospacing="1" w:after="100" w:afterAutospacing="1" w:line="200" w:lineRule="exact"/>
              <w:ind w:left="88"/>
              <w:jc w:val="center"/>
              <w:rPr>
                <w:rFonts w:cstheme="minorHAnsi"/>
                <w:b w:val="0"/>
                <w:sz w:val="20"/>
                <w:szCs w:val="20"/>
                <w:lang w:val="en-GB"/>
              </w:rPr>
            </w:pPr>
            <w:r w:rsidRPr="00DA7330">
              <w:rPr>
                <w:rFonts w:cstheme="minorHAnsi"/>
                <w:b w:val="0"/>
                <w:sz w:val="20"/>
                <w:szCs w:val="20"/>
                <w:lang w:val="en-GB"/>
              </w:rPr>
              <w:t>CH</w:t>
            </w:r>
          </w:p>
        </w:tc>
        <w:tc>
          <w:tcPr>
            <w:tcW w:w="1484" w:type="pct"/>
            <w:tcBorders>
              <w:right w:val="single" w:sz="4" w:space="0" w:color="auto"/>
            </w:tcBorders>
          </w:tcPr>
          <w:p w14:paraId="3D0C63D5" w14:textId="77777777" w:rsidR="00E055F3" w:rsidRPr="00DA7330"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SNSF</w:t>
            </w:r>
          </w:p>
        </w:tc>
        <w:tc>
          <w:tcPr>
            <w:tcW w:w="1250" w:type="pct"/>
            <w:tcBorders>
              <w:left w:val="single" w:sz="4" w:space="0" w:color="auto"/>
            </w:tcBorders>
          </w:tcPr>
          <w:p w14:paraId="1F5EC9A2" w14:textId="77777777" w:rsidR="00E055F3" w:rsidRPr="000F4DA4"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0F4DA4">
              <w:rPr>
                <w:rFonts w:cstheme="minorHAnsi"/>
                <w:b/>
                <w:sz w:val="20"/>
                <w:szCs w:val="20"/>
                <w:lang w:val="en-GB"/>
              </w:rPr>
              <w:t>Yes</w:t>
            </w:r>
          </w:p>
        </w:tc>
        <w:tc>
          <w:tcPr>
            <w:tcW w:w="1250" w:type="pct"/>
          </w:tcPr>
          <w:p w14:paraId="126A0ADF" w14:textId="77777777" w:rsidR="00E055F3" w:rsidRPr="000F4DA4"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0F4DA4">
              <w:rPr>
                <w:rFonts w:cstheme="minorHAnsi"/>
                <w:b/>
                <w:sz w:val="20"/>
                <w:szCs w:val="20"/>
                <w:lang w:val="en-GB"/>
              </w:rPr>
              <w:t>Yes</w:t>
            </w:r>
          </w:p>
        </w:tc>
      </w:tr>
      <w:tr w:rsidR="00E055F3" w:rsidRPr="00E14E2D" w14:paraId="38C0CF3C"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0696BCFE" w14:textId="77777777" w:rsidR="00E055F3" w:rsidRPr="00DA7330" w:rsidRDefault="00E055F3" w:rsidP="00794A67">
            <w:pPr>
              <w:keepLines/>
              <w:spacing w:before="100" w:beforeAutospacing="1" w:after="100" w:afterAutospacing="1" w:line="200" w:lineRule="exact"/>
              <w:ind w:left="88"/>
              <w:jc w:val="center"/>
              <w:rPr>
                <w:rFonts w:cstheme="minorHAnsi"/>
                <w:b w:val="0"/>
                <w:sz w:val="20"/>
                <w:szCs w:val="20"/>
                <w:lang w:val="en-GB"/>
              </w:rPr>
            </w:pPr>
            <w:r w:rsidRPr="00DA7330">
              <w:rPr>
                <w:b w:val="0"/>
                <w:sz w:val="20"/>
                <w:szCs w:val="20"/>
                <w:lang w:val="en-GB"/>
              </w:rPr>
              <w:t>CZ</w:t>
            </w:r>
          </w:p>
        </w:tc>
        <w:tc>
          <w:tcPr>
            <w:tcW w:w="1484" w:type="pct"/>
            <w:tcBorders>
              <w:right w:val="single" w:sz="4" w:space="0" w:color="auto"/>
            </w:tcBorders>
            <w:vAlign w:val="center"/>
          </w:tcPr>
          <w:p w14:paraId="5FDD1777" w14:textId="77777777" w:rsidR="00E055F3" w:rsidRPr="00DA7330"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sz w:val="20"/>
                <w:szCs w:val="20"/>
                <w:lang w:val="en-GB"/>
              </w:rPr>
              <w:t>TACR</w:t>
            </w:r>
          </w:p>
        </w:tc>
        <w:tc>
          <w:tcPr>
            <w:tcW w:w="1250" w:type="pct"/>
            <w:tcBorders>
              <w:left w:val="single" w:sz="4" w:space="0" w:color="auto"/>
            </w:tcBorders>
          </w:tcPr>
          <w:p w14:paraId="3FDA1D1A" w14:textId="77777777" w:rsidR="00E055F3" w:rsidRPr="000F4DA4"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2D9B455D" w14:textId="77777777" w:rsidR="00E055F3" w:rsidRPr="000F4DA4"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E14E2D" w14:paraId="447C215A"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57DB1174" w14:textId="77777777" w:rsidR="00E055F3" w:rsidRPr="00DA7330" w:rsidRDefault="00E055F3" w:rsidP="00794A67">
            <w:pPr>
              <w:keepLines/>
              <w:spacing w:before="100" w:beforeAutospacing="1" w:after="100" w:afterAutospacing="1" w:line="200" w:lineRule="exact"/>
              <w:ind w:left="88"/>
              <w:jc w:val="center"/>
              <w:rPr>
                <w:b w:val="0"/>
                <w:sz w:val="20"/>
                <w:szCs w:val="20"/>
                <w:lang w:val="en-GB"/>
              </w:rPr>
            </w:pPr>
            <w:r w:rsidRPr="00DA7330">
              <w:rPr>
                <w:b w:val="0"/>
                <w:sz w:val="20"/>
                <w:szCs w:val="20"/>
                <w:lang w:val="en-GB"/>
              </w:rPr>
              <w:t>EE</w:t>
            </w:r>
          </w:p>
        </w:tc>
        <w:tc>
          <w:tcPr>
            <w:tcW w:w="1484" w:type="pct"/>
            <w:tcBorders>
              <w:right w:val="single" w:sz="4" w:space="0" w:color="auto"/>
            </w:tcBorders>
            <w:vAlign w:val="center"/>
          </w:tcPr>
          <w:p w14:paraId="0A39751F" w14:textId="77777777" w:rsidR="00E055F3" w:rsidRPr="00DA7330"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sz w:val="20"/>
                <w:szCs w:val="20"/>
                <w:lang w:val="en-GB"/>
              </w:rPr>
            </w:pPr>
            <w:proofErr w:type="spellStart"/>
            <w:r w:rsidRPr="00DA7330">
              <w:rPr>
                <w:sz w:val="20"/>
                <w:szCs w:val="20"/>
                <w:lang w:val="en-GB"/>
              </w:rPr>
              <w:t>ETAg</w:t>
            </w:r>
            <w:proofErr w:type="spellEnd"/>
          </w:p>
        </w:tc>
        <w:tc>
          <w:tcPr>
            <w:tcW w:w="1250" w:type="pct"/>
            <w:tcBorders>
              <w:left w:val="single" w:sz="4" w:space="0" w:color="auto"/>
            </w:tcBorders>
          </w:tcPr>
          <w:p w14:paraId="594EE1E7" w14:textId="77777777" w:rsidR="00E055F3" w:rsidRPr="000F4DA4"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423D4B3C" w14:textId="77777777" w:rsidR="00E055F3" w:rsidRDefault="00E055F3"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E14E2D" w14:paraId="1BC5FD88"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Pr>
          <w:p w14:paraId="69184A64" w14:textId="77777777" w:rsidR="00E055F3" w:rsidRPr="00DA7330" w:rsidRDefault="00E055F3" w:rsidP="00794A67">
            <w:pPr>
              <w:keepLines/>
              <w:spacing w:before="100" w:beforeAutospacing="1" w:after="100" w:afterAutospacing="1" w:line="200" w:lineRule="exact"/>
              <w:ind w:left="88"/>
              <w:jc w:val="center"/>
              <w:rPr>
                <w:rFonts w:cstheme="minorHAnsi"/>
                <w:b w:val="0"/>
                <w:sz w:val="20"/>
                <w:szCs w:val="20"/>
                <w:lang w:val="en-GB"/>
              </w:rPr>
            </w:pPr>
            <w:r w:rsidRPr="00DA7330">
              <w:rPr>
                <w:rFonts w:cstheme="minorHAnsi"/>
                <w:b w:val="0"/>
                <w:sz w:val="20"/>
                <w:szCs w:val="20"/>
                <w:lang w:val="en-GB"/>
              </w:rPr>
              <w:t>ES</w:t>
            </w:r>
          </w:p>
        </w:tc>
        <w:tc>
          <w:tcPr>
            <w:tcW w:w="1484" w:type="pct"/>
            <w:tcBorders>
              <w:right w:val="single" w:sz="4" w:space="0" w:color="auto"/>
            </w:tcBorders>
          </w:tcPr>
          <w:p w14:paraId="63EAD038" w14:textId="77777777" w:rsidR="00E055F3" w:rsidRPr="00DA7330"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rFonts w:cstheme="minorHAnsi"/>
                <w:sz w:val="20"/>
                <w:szCs w:val="20"/>
                <w:lang w:val="en-GB"/>
              </w:rPr>
              <w:t>MINECO</w:t>
            </w:r>
          </w:p>
        </w:tc>
        <w:tc>
          <w:tcPr>
            <w:tcW w:w="1250" w:type="pct"/>
            <w:tcBorders>
              <w:left w:val="single" w:sz="4" w:space="0" w:color="auto"/>
            </w:tcBorders>
          </w:tcPr>
          <w:p w14:paraId="4242D1C8" w14:textId="77777777" w:rsidR="00E055F3" w:rsidRPr="000F4DA4"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1876AC8B" w14:textId="77777777" w:rsidR="00E055F3" w:rsidRPr="000F4DA4" w:rsidRDefault="00E055F3" w:rsidP="00794A67">
            <w:pPr>
              <w:keepLines/>
              <w:spacing w:before="100" w:beforeAutospacing="1" w:after="100" w:afterAutospacing="1" w:line="200" w:lineRule="exact"/>
              <w:ind w:left="8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945735" w:rsidRPr="00E14E2D" w14:paraId="60B3BF99"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4F29F366" w14:textId="4817DA03" w:rsidR="00945735" w:rsidRPr="00945735" w:rsidRDefault="00945735" w:rsidP="00794A67">
            <w:pPr>
              <w:keepLines/>
              <w:spacing w:before="100" w:beforeAutospacing="1" w:after="100" w:afterAutospacing="1" w:line="200" w:lineRule="exact"/>
              <w:ind w:left="88"/>
              <w:jc w:val="center"/>
              <w:rPr>
                <w:rFonts w:cstheme="minorHAnsi"/>
                <w:b w:val="0"/>
                <w:sz w:val="20"/>
                <w:szCs w:val="20"/>
                <w:lang w:val="en-GB"/>
              </w:rPr>
            </w:pPr>
            <w:r>
              <w:rPr>
                <w:rFonts w:cstheme="minorHAnsi"/>
                <w:b w:val="0"/>
                <w:sz w:val="20"/>
                <w:szCs w:val="20"/>
                <w:lang w:val="en-GB"/>
              </w:rPr>
              <w:t>ES</w:t>
            </w:r>
          </w:p>
        </w:tc>
        <w:tc>
          <w:tcPr>
            <w:tcW w:w="1484" w:type="pct"/>
            <w:tcBorders>
              <w:right w:val="single" w:sz="4" w:space="0" w:color="auto"/>
            </w:tcBorders>
          </w:tcPr>
          <w:p w14:paraId="176B67E0" w14:textId="5D5E962A" w:rsidR="00945735" w:rsidRPr="00DA7330" w:rsidRDefault="00945735"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IDEA</w:t>
            </w:r>
          </w:p>
        </w:tc>
        <w:tc>
          <w:tcPr>
            <w:tcW w:w="1250" w:type="pct"/>
            <w:tcBorders>
              <w:left w:val="single" w:sz="4" w:space="0" w:color="auto"/>
            </w:tcBorders>
          </w:tcPr>
          <w:p w14:paraId="0E7CAB5C" w14:textId="50FA525C" w:rsidR="00945735" w:rsidRDefault="00945735"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5FC697A0" w14:textId="57096B59" w:rsidR="00945735" w:rsidRDefault="00945735" w:rsidP="00794A67">
            <w:pPr>
              <w:keepLines/>
              <w:spacing w:before="100" w:beforeAutospacing="1" w:after="100" w:afterAutospacing="1" w:line="200" w:lineRule="exact"/>
              <w:ind w:left="88"/>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E055F3" w:rsidRPr="00E14E2D" w14:paraId="187C0493"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Pr>
          <w:p w14:paraId="159C0441"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b w:val="0"/>
                <w:sz w:val="20"/>
                <w:szCs w:val="20"/>
                <w:lang w:val="en-GB"/>
              </w:rPr>
              <w:t>FI</w:t>
            </w:r>
          </w:p>
        </w:tc>
        <w:tc>
          <w:tcPr>
            <w:tcW w:w="1484" w:type="pct"/>
            <w:tcBorders>
              <w:right w:val="single" w:sz="4" w:space="0" w:color="auto"/>
            </w:tcBorders>
          </w:tcPr>
          <w:p w14:paraId="1D5BEDC8" w14:textId="77777777" w:rsidR="00E055F3" w:rsidRPr="00DA7330"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sz w:val="20"/>
                <w:szCs w:val="20"/>
                <w:lang w:val="en-GB"/>
              </w:rPr>
              <w:t>AKA</w:t>
            </w:r>
          </w:p>
        </w:tc>
        <w:tc>
          <w:tcPr>
            <w:tcW w:w="1250" w:type="pct"/>
            <w:tcBorders>
              <w:left w:val="single" w:sz="4" w:space="0" w:color="auto"/>
            </w:tcBorders>
          </w:tcPr>
          <w:p w14:paraId="6ABDE606" w14:textId="77777777" w:rsidR="00E055F3"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122E6241" w14:textId="77777777" w:rsidR="00E055F3"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E14E2D" w14:paraId="6638606F"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68C82E47"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rFonts w:cstheme="minorHAnsi"/>
                <w:b w:val="0"/>
                <w:sz w:val="20"/>
                <w:szCs w:val="20"/>
                <w:lang w:val="en-GB"/>
              </w:rPr>
              <w:t>FR</w:t>
            </w:r>
          </w:p>
        </w:tc>
        <w:tc>
          <w:tcPr>
            <w:tcW w:w="1484" w:type="pct"/>
            <w:tcBorders>
              <w:right w:val="single" w:sz="4" w:space="0" w:color="auto"/>
            </w:tcBorders>
          </w:tcPr>
          <w:p w14:paraId="62A44071" w14:textId="77777777" w:rsidR="00E055F3" w:rsidRPr="00DA7330"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ANR</w:t>
            </w:r>
          </w:p>
        </w:tc>
        <w:tc>
          <w:tcPr>
            <w:tcW w:w="1250" w:type="pct"/>
            <w:tcBorders>
              <w:left w:val="single" w:sz="4" w:space="0" w:color="auto"/>
            </w:tcBorders>
          </w:tcPr>
          <w:p w14:paraId="52492968"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0F4DA4">
              <w:rPr>
                <w:rFonts w:cstheme="minorHAnsi"/>
                <w:b/>
                <w:sz w:val="20"/>
                <w:szCs w:val="20"/>
                <w:lang w:val="en-GB"/>
              </w:rPr>
              <w:t>Yes</w:t>
            </w:r>
          </w:p>
        </w:tc>
        <w:tc>
          <w:tcPr>
            <w:tcW w:w="1250" w:type="pct"/>
          </w:tcPr>
          <w:p w14:paraId="5BC66C5F"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0F4DA4">
              <w:rPr>
                <w:rFonts w:cstheme="minorHAnsi"/>
                <w:b/>
                <w:sz w:val="20"/>
                <w:szCs w:val="20"/>
                <w:lang w:val="en-GB"/>
              </w:rPr>
              <w:t>Yes</w:t>
            </w:r>
          </w:p>
        </w:tc>
      </w:tr>
      <w:tr w:rsidR="003913A8" w:rsidRPr="00E14E2D" w14:paraId="189C71E6"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Pr>
          <w:p w14:paraId="2A137BF5" w14:textId="6D74F14B" w:rsidR="003913A8" w:rsidRPr="003913A8" w:rsidRDefault="003913A8" w:rsidP="00794A67">
            <w:pPr>
              <w:keepLines/>
              <w:spacing w:before="100" w:beforeAutospacing="1" w:after="100" w:afterAutospacing="1" w:line="200" w:lineRule="exact"/>
              <w:ind w:left="91"/>
              <w:jc w:val="center"/>
              <w:rPr>
                <w:rFonts w:cstheme="minorHAnsi"/>
                <w:b w:val="0"/>
                <w:sz w:val="20"/>
                <w:szCs w:val="20"/>
                <w:lang w:val="en-GB"/>
              </w:rPr>
            </w:pPr>
            <w:r w:rsidRPr="003913A8">
              <w:rPr>
                <w:rFonts w:cstheme="minorHAnsi"/>
                <w:b w:val="0"/>
                <w:sz w:val="20"/>
                <w:szCs w:val="20"/>
                <w:lang w:val="en-GB"/>
              </w:rPr>
              <w:t>GR</w:t>
            </w:r>
          </w:p>
        </w:tc>
        <w:tc>
          <w:tcPr>
            <w:tcW w:w="1484" w:type="pct"/>
            <w:tcBorders>
              <w:right w:val="single" w:sz="4" w:space="0" w:color="auto"/>
            </w:tcBorders>
          </w:tcPr>
          <w:p w14:paraId="48873C8C" w14:textId="21605FD7" w:rsidR="003913A8" w:rsidRPr="00DA7330" w:rsidRDefault="003913A8"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GSRT</w:t>
            </w:r>
          </w:p>
        </w:tc>
        <w:tc>
          <w:tcPr>
            <w:tcW w:w="1250" w:type="pct"/>
            <w:tcBorders>
              <w:left w:val="single" w:sz="4" w:space="0" w:color="auto"/>
            </w:tcBorders>
          </w:tcPr>
          <w:p w14:paraId="072A98D6" w14:textId="78FC7729" w:rsidR="003913A8" w:rsidRPr="000F4DA4" w:rsidRDefault="003913A8"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0835F248" w14:textId="21EB3390" w:rsidR="003913A8" w:rsidRPr="000F4DA4" w:rsidRDefault="003913A8"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E055F3" w14:paraId="5A3F6CBC"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1BD8800E"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rFonts w:cstheme="minorHAnsi"/>
                <w:b w:val="0"/>
                <w:sz w:val="20"/>
                <w:szCs w:val="20"/>
                <w:lang w:val="en-GB"/>
              </w:rPr>
              <w:t>IE</w:t>
            </w:r>
          </w:p>
        </w:tc>
        <w:tc>
          <w:tcPr>
            <w:tcW w:w="1484" w:type="pct"/>
            <w:tcBorders>
              <w:right w:val="single" w:sz="4" w:space="0" w:color="auto"/>
            </w:tcBorders>
          </w:tcPr>
          <w:p w14:paraId="5BB56AFB" w14:textId="77777777" w:rsidR="00E055F3" w:rsidRPr="00DA7330"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IRC</w:t>
            </w:r>
          </w:p>
        </w:tc>
        <w:tc>
          <w:tcPr>
            <w:tcW w:w="1250" w:type="pct"/>
            <w:tcBorders>
              <w:left w:val="single" w:sz="4" w:space="0" w:color="auto"/>
            </w:tcBorders>
          </w:tcPr>
          <w:p w14:paraId="59D60D7A" w14:textId="77777777" w:rsidR="00E055F3"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03CFE98D" w14:textId="77777777" w:rsidR="00E055F3"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E055F3" w14:paraId="450DDCE8"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Pr>
          <w:p w14:paraId="4E3B5012"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b w:val="0"/>
                <w:sz w:val="20"/>
                <w:szCs w:val="20"/>
                <w:lang w:val="en-GB"/>
              </w:rPr>
              <w:t>IT</w:t>
            </w:r>
          </w:p>
        </w:tc>
        <w:tc>
          <w:tcPr>
            <w:tcW w:w="1484" w:type="pct"/>
            <w:tcBorders>
              <w:right w:val="single" w:sz="4" w:space="0" w:color="auto"/>
            </w:tcBorders>
          </w:tcPr>
          <w:p w14:paraId="547BB255" w14:textId="77777777" w:rsidR="00E055F3" w:rsidRPr="00DA7330"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sz w:val="20"/>
                <w:szCs w:val="20"/>
                <w:lang w:val="en-GB"/>
              </w:rPr>
              <w:t>MIUR</w:t>
            </w:r>
          </w:p>
        </w:tc>
        <w:tc>
          <w:tcPr>
            <w:tcW w:w="1250" w:type="pct"/>
            <w:tcBorders>
              <w:left w:val="single" w:sz="4" w:space="0" w:color="auto"/>
            </w:tcBorders>
          </w:tcPr>
          <w:p w14:paraId="28754105" w14:textId="77777777" w:rsidR="00E055F3"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354C2400" w14:textId="77777777" w:rsidR="00E055F3"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0F4DA4" w14:paraId="5AC5F831"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3FE08001"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b w:val="0"/>
                <w:sz w:val="20"/>
                <w:szCs w:val="20"/>
                <w:lang w:val="en-GB"/>
              </w:rPr>
              <w:t>LT</w:t>
            </w:r>
          </w:p>
        </w:tc>
        <w:tc>
          <w:tcPr>
            <w:tcW w:w="1484" w:type="pct"/>
            <w:tcBorders>
              <w:right w:val="single" w:sz="4" w:space="0" w:color="auto"/>
            </w:tcBorders>
          </w:tcPr>
          <w:p w14:paraId="229B8A65" w14:textId="77777777" w:rsidR="00E055F3" w:rsidRPr="00DA7330"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sz w:val="20"/>
                <w:szCs w:val="20"/>
                <w:lang w:val="en-GB"/>
              </w:rPr>
              <w:t>LMT</w:t>
            </w:r>
          </w:p>
        </w:tc>
        <w:tc>
          <w:tcPr>
            <w:tcW w:w="1250" w:type="pct"/>
            <w:tcBorders>
              <w:left w:val="single" w:sz="4" w:space="0" w:color="auto"/>
            </w:tcBorders>
          </w:tcPr>
          <w:p w14:paraId="44190AF9"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0FC6DAD6"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E055F3" w:rsidRPr="000F4DA4" w14:paraId="11FD2D6B"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Pr>
          <w:p w14:paraId="77CF4F55"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rFonts w:cstheme="minorHAnsi"/>
                <w:b w:val="0"/>
                <w:sz w:val="20"/>
                <w:szCs w:val="20"/>
                <w:lang w:val="en-GB"/>
              </w:rPr>
              <w:t>PL</w:t>
            </w:r>
          </w:p>
        </w:tc>
        <w:tc>
          <w:tcPr>
            <w:tcW w:w="1484" w:type="pct"/>
            <w:tcBorders>
              <w:right w:val="single" w:sz="4" w:space="0" w:color="auto"/>
            </w:tcBorders>
          </w:tcPr>
          <w:p w14:paraId="6723606B" w14:textId="77777777" w:rsidR="00E055F3" w:rsidRPr="00DA7330"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rFonts w:cstheme="minorHAnsi"/>
                <w:sz w:val="20"/>
                <w:szCs w:val="20"/>
                <w:lang w:val="en-GB"/>
              </w:rPr>
              <w:t>NCN</w:t>
            </w:r>
          </w:p>
        </w:tc>
        <w:tc>
          <w:tcPr>
            <w:tcW w:w="1250" w:type="pct"/>
            <w:tcBorders>
              <w:left w:val="single" w:sz="4" w:space="0" w:color="auto"/>
            </w:tcBorders>
          </w:tcPr>
          <w:p w14:paraId="5336E27B" w14:textId="77777777" w:rsidR="00E055F3" w:rsidRPr="000F4DA4"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4DA4">
              <w:rPr>
                <w:rFonts w:cstheme="minorHAnsi"/>
                <w:b/>
                <w:sz w:val="20"/>
                <w:szCs w:val="20"/>
                <w:lang w:val="en-GB"/>
              </w:rPr>
              <w:t>Yes</w:t>
            </w:r>
          </w:p>
        </w:tc>
        <w:tc>
          <w:tcPr>
            <w:tcW w:w="1250" w:type="pct"/>
          </w:tcPr>
          <w:p w14:paraId="7B9B5AF4" w14:textId="77777777" w:rsidR="00E055F3" w:rsidRPr="000F4DA4"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4DA4">
              <w:rPr>
                <w:rFonts w:cstheme="minorHAnsi"/>
                <w:b/>
                <w:sz w:val="20"/>
                <w:szCs w:val="20"/>
                <w:lang w:val="en-GB"/>
              </w:rPr>
              <w:t>Yes</w:t>
            </w:r>
          </w:p>
        </w:tc>
      </w:tr>
      <w:tr w:rsidR="00E055F3" w:rsidRPr="000F4DA4" w14:paraId="6D1B8F19"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38C40F34"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rFonts w:cstheme="minorHAnsi"/>
                <w:b w:val="0"/>
                <w:sz w:val="20"/>
                <w:szCs w:val="20"/>
                <w:lang w:val="en-GB"/>
              </w:rPr>
              <w:t>RO</w:t>
            </w:r>
          </w:p>
        </w:tc>
        <w:tc>
          <w:tcPr>
            <w:tcW w:w="1484" w:type="pct"/>
            <w:tcBorders>
              <w:right w:val="single" w:sz="4" w:space="0" w:color="auto"/>
            </w:tcBorders>
          </w:tcPr>
          <w:p w14:paraId="5488139C" w14:textId="77777777" w:rsidR="00E055F3" w:rsidRPr="00DA7330"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UEFISCDI</w:t>
            </w:r>
          </w:p>
        </w:tc>
        <w:tc>
          <w:tcPr>
            <w:tcW w:w="1250" w:type="pct"/>
            <w:tcBorders>
              <w:left w:val="single" w:sz="4" w:space="0" w:color="auto"/>
            </w:tcBorders>
          </w:tcPr>
          <w:p w14:paraId="036519B9"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58987DB6" w14:textId="77777777" w:rsidR="00E055F3" w:rsidRPr="000F4DA4"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r>
      <w:tr w:rsidR="00E055F3" w:rsidRPr="000F4DA4" w14:paraId="464C0120"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02B904D7" w14:textId="77777777" w:rsidR="00E055F3" w:rsidRPr="00DA7330" w:rsidRDefault="00E055F3" w:rsidP="00794A67">
            <w:pPr>
              <w:keepLines/>
              <w:spacing w:before="100" w:beforeAutospacing="1" w:after="100" w:afterAutospacing="1" w:line="200" w:lineRule="exact"/>
              <w:ind w:left="91"/>
              <w:jc w:val="center"/>
              <w:rPr>
                <w:b w:val="0"/>
                <w:sz w:val="20"/>
                <w:szCs w:val="20"/>
                <w:lang w:val="en-GB"/>
              </w:rPr>
            </w:pPr>
            <w:r w:rsidRPr="00DA7330">
              <w:rPr>
                <w:b w:val="0"/>
                <w:sz w:val="20"/>
                <w:szCs w:val="20"/>
                <w:lang w:val="en-GB"/>
              </w:rPr>
              <w:t>SK</w:t>
            </w:r>
          </w:p>
        </w:tc>
        <w:tc>
          <w:tcPr>
            <w:tcW w:w="1484" w:type="pct"/>
            <w:tcBorders>
              <w:right w:val="single" w:sz="4" w:space="0" w:color="auto"/>
            </w:tcBorders>
            <w:vAlign w:val="center"/>
          </w:tcPr>
          <w:p w14:paraId="0EFB6834" w14:textId="0B805F09" w:rsidR="00E055F3" w:rsidRPr="00DA7330" w:rsidRDefault="00041BB1"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SAV</w:t>
            </w:r>
          </w:p>
        </w:tc>
        <w:tc>
          <w:tcPr>
            <w:tcW w:w="1250" w:type="pct"/>
            <w:tcBorders>
              <w:left w:val="single" w:sz="4" w:space="0" w:color="auto"/>
            </w:tcBorders>
          </w:tcPr>
          <w:p w14:paraId="5DD939EE" w14:textId="77777777" w:rsidR="00E055F3"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7190424A" w14:textId="77777777" w:rsidR="00E055F3"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6A454B" w14:paraId="2E00C5D2" w14:textId="77777777" w:rsidTr="00182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6" w:type="pct"/>
          </w:tcPr>
          <w:p w14:paraId="6CD4065C"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rFonts w:cstheme="minorHAnsi"/>
                <w:b w:val="0"/>
                <w:sz w:val="20"/>
                <w:szCs w:val="20"/>
                <w:lang w:val="en-GB"/>
              </w:rPr>
              <w:t>TR</w:t>
            </w:r>
          </w:p>
        </w:tc>
        <w:tc>
          <w:tcPr>
            <w:tcW w:w="1484" w:type="pct"/>
            <w:tcBorders>
              <w:right w:val="single" w:sz="4" w:space="0" w:color="auto"/>
            </w:tcBorders>
          </w:tcPr>
          <w:p w14:paraId="1D04DA2E" w14:textId="77777777" w:rsidR="00E055F3" w:rsidRPr="00DA7330"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A7330">
              <w:rPr>
                <w:rFonts w:cstheme="minorHAnsi"/>
                <w:sz w:val="20"/>
                <w:szCs w:val="20"/>
                <w:lang w:val="en-GB"/>
              </w:rPr>
              <w:t>TÜBITAK</w:t>
            </w:r>
          </w:p>
        </w:tc>
        <w:tc>
          <w:tcPr>
            <w:tcW w:w="1250" w:type="pct"/>
            <w:tcBorders>
              <w:left w:val="single" w:sz="4" w:space="0" w:color="auto"/>
            </w:tcBorders>
          </w:tcPr>
          <w:p w14:paraId="5E32D9C5" w14:textId="77777777" w:rsidR="00E055F3" w:rsidRPr="006A454B"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c>
          <w:tcPr>
            <w:tcW w:w="1250" w:type="pct"/>
          </w:tcPr>
          <w:p w14:paraId="5FD94A35" w14:textId="77777777" w:rsidR="00E055F3" w:rsidRPr="006A454B" w:rsidRDefault="00E055F3" w:rsidP="00794A67">
            <w:pPr>
              <w:keepLines/>
              <w:spacing w:before="100" w:beforeAutospacing="1" w:after="100" w:afterAutospacing="1" w:line="200" w:lineRule="exact"/>
              <w:ind w:left="91"/>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6A454B">
              <w:rPr>
                <w:rFonts w:cstheme="minorHAnsi"/>
                <w:b/>
                <w:sz w:val="20"/>
                <w:szCs w:val="20"/>
                <w:lang w:val="en-GB"/>
              </w:rPr>
              <w:t>Yes</w:t>
            </w:r>
          </w:p>
        </w:tc>
      </w:tr>
      <w:tr w:rsidR="00E055F3" w:rsidRPr="006A454B" w14:paraId="73827D3D" w14:textId="77777777" w:rsidTr="00182EA8">
        <w:trPr>
          <w:jc w:val="center"/>
        </w:trPr>
        <w:tc>
          <w:tcPr>
            <w:cnfStyle w:val="001000000000" w:firstRow="0" w:lastRow="0" w:firstColumn="1" w:lastColumn="0" w:oddVBand="0" w:evenVBand="0" w:oddHBand="0" w:evenHBand="0" w:firstRowFirstColumn="0" w:firstRowLastColumn="0" w:lastRowFirstColumn="0" w:lastRowLastColumn="0"/>
            <w:tcW w:w="1016" w:type="pct"/>
          </w:tcPr>
          <w:p w14:paraId="6EB1D8B6" w14:textId="77777777" w:rsidR="00E055F3" w:rsidRPr="00DA7330" w:rsidRDefault="00E055F3" w:rsidP="00794A67">
            <w:pPr>
              <w:keepLines/>
              <w:spacing w:before="100" w:beforeAutospacing="1" w:after="100" w:afterAutospacing="1" w:line="200" w:lineRule="exact"/>
              <w:ind w:left="91"/>
              <w:jc w:val="center"/>
              <w:rPr>
                <w:rFonts w:cstheme="minorHAnsi"/>
                <w:b w:val="0"/>
                <w:sz w:val="20"/>
                <w:szCs w:val="20"/>
                <w:lang w:val="en-GB"/>
              </w:rPr>
            </w:pPr>
            <w:r w:rsidRPr="00DA7330">
              <w:rPr>
                <w:b w:val="0"/>
                <w:sz w:val="20"/>
                <w:szCs w:val="20"/>
                <w:lang w:val="en-GB"/>
              </w:rPr>
              <w:t>UK</w:t>
            </w:r>
          </w:p>
        </w:tc>
        <w:tc>
          <w:tcPr>
            <w:tcW w:w="1484" w:type="pct"/>
            <w:tcBorders>
              <w:right w:val="single" w:sz="4" w:space="0" w:color="auto"/>
            </w:tcBorders>
          </w:tcPr>
          <w:p w14:paraId="37D3ACA3" w14:textId="77777777" w:rsidR="00E055F3" w:rsidRPr="00DA7330"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A7330">
              <w:rPr>
                <w:sz w:val="20"/>
                <w:szCs w:val="20"/>
                <w:lang w:val="en-GB"/>
              </w:rPr>
              <w:t>EPSRC</w:t>
            </w:r>
          </w:p>
        </w:tc>
        <w:tc>
          <w:tcPr>
            <w:tcW w:w="1250" w:type="pct"/>
            <w:tcBorders>
              <w:left w:val="single" w:sz="4" w:space="0" w:color="auto"/>
            </w:tcBorders>
          </w:tcPr>
          <w:p w14:paraId="4E92C00E" w14:textId="77777777" w:rsidR="00E055F3" w:rsidRPr="006A454B"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Yes</w:t>
            </w:r>
          </w:p>
        </w:tc>
        <w:tc>
          <w:tcPr>
            <w:tcW w:w="1250" w:type="pct"/>
          </w:tcPr>
          <w:p w14:paraId="6EDEC6EE" w14:textId="77777777" w:rsidR="00E055F3" w:rsidRPr="006A454B" w:rsidRDefault="00E055F3" w:rsidP="00794A67">
            <w:pPr>
              <w:keepLines/>
              <w:spacing w:before="100" w:beforeAutospacing="1" w:after="100" w:afterAutospacing="1" w:line="200" w:lineRule="exact"/>
              <w:ind w:left="91"/>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Pr>
                <w:rFonts w:cstheme="minorHAnsi"/>
                <w:b/>
                <w:sz w:val="20"/>
                <w:szCs w:val="20"/>
                <w:lang w:val="en-GB"/>
              </w:rPr>
              <w:t>No</w:t>
            </w:r>
          </w:p>
        </w:tc>
      </w:tr>
    </w:tbl>
    <w:p w14:paraId="5DB65443" w14:textId="77777777" w:rsidR="003103AF" w:rsidRPr="00F7318C" w:rsidRDefault="003103AF" w:rsidP="00CA0C84">
      <w:pPr>
        <w:jc w:val="both"/>
        <w:rPr>
          <w:lang w:val="en-GB"/>
        </w:rPr>
      </w:pPr>
    </w:p>
    <w:p w14:paraId="5DF2D807" w14:textId="66B02295" w:rsidR="0098216D" w:rsidRDefault="00317C83" w:rsidP="00182EA8">
      <w:pPr>
        <w:jc w:val="both"/>
        <w:rPr>
          <w:rFonts w:eastAsiaTheme="majorEastAsia" w:cstheme="majorBidi"/>
          <w:b/>
          <w:bCs/>
          <w:sz w:val="26"/>
          <w:szCs w:val="26"/>
          <w:lang w:val="en-GB"/>
        </w:rPr>
      </w:pPr>
      <w:r w:rsidRPr="00F7318C">
        <w:rPr>
          <w:lang w:val="en-GB"/>
        </w:rPr>
        <w:t xml:space="preserve">Please note that this pre-announcement is for information </w:t>
      </w:r>
      <w:r w:rsidR="00C40EAD" w:rsidRPr="00F7318C">
        <w:rPr>
          <w:lang w:val="en-GB"/>
        </w:rPr>
        <w:t xml:space="preserve">purposes </w:t>
      </w:r>
      <w:r w:rsidRPr="00F7318C">
        <w:rPr>
          <w:lang w:val="en-GB"/>
        </w:rPr>
        <w:t>only</w:t>
      </w:r>
      <w:r w:rsidR="00D75384">
        <w:rPr>
          <w:lang w:val="en-GB"/>
        </w:rPr>
        <w:t>.</w:t>
      </w:r>
      <w:r w:rsidRPr="00F7318C">
        <w:rPr>
          <w:lang w:val="en-GB"/>
        </w:rPr>
        <w:t xml:space="preserve"> </w:t>
      </w:r>
      <w:r w:rsidR="00D75384">
        <w:rPr>
          <w:lang w:val="en-GB"/>
        </w:rPr>
        <w:t>It</w:t>
      </w:r>
      <w:r w:rsidRPr="00F7318C">
        <w:rPr>
          <w:lang w:val="en-GB"/>
        </w:rPr>
        <w:t xml:space="preserve"> </w:t>
      </w:r>
      <w:r w:rsidR="00C40EAD" w:rsidRPr="00F7318C">
        <w:rPr>
          <w:lang w:val="en-GB"/>
        </w:rPr>
        <w:t xml:space="preserve">does not create any obligation for </w:t>
      </w:r>
      <w:r w:rsidRPr="00F7318C">
        <w:rPr>
          <w:lang w:val="en-GB"/>
        </w:rPr>
        <w:t xml:space="preserve">the CHIST-ERA consortium </w:t>
      </w:r>
      <w:r w:rsidR="00CE02FD">
        <w:rPr>
          <w:lang w:val="en-GB"/>
        </w:rPr>
        <w:t>nor</w:t>
      </w:r>
      <w:r w:rsidR="00CE02FD" w:rsidRPr="00F7318C">
        <w:rPr>
          <w:lang w:val="en-GB"/>
        </w:rPr>
        <w:t xml:space="preserve"> </w:t>
      </w:r>
      <w:r w:rsidR="00C40EAD" w:rsidRPr="00F7318C">
        <w:rPr>
          <w:lang w:val="en-GB"/>
        </w:rPr>
        <w:t xml:space="preserve">for </w:t>
      </w:r>
      <w:r w:rsidRPr="00F7318C">
        <w:rPr>
          <w:lang w:val="en-GB"/>
        </w:rPr>
        <w:t xml:space="preserve">any of the </w:t>
      </w:r>
      <w:r w:rsidR="00C40EAD" w:rsidRPr="00F7318C">
        <w:rPr>
          <w:lang w:val="en-GB"/>
        </w:rPr>
        <w:t xml:space="preserve">participating </w:t>
      </w:r>
      <w:r w:rsidRPr="00F7318C">
        <w:rPr>
          <w:lang w:val="en-GB"/>
        </w:rPr>
        <w:t xml:space="preserve">funding </w:t>
      </w:r>
      <w:r w:rsidR="00DB7390">
        <w:rPr>
          <w:lang w:val="en-GB"/>
        </w:rPr>
        <w:t>organi</w:t>
      </w:r>
      <w:r w:rsidR="00B02025">
        <w:rPr>
          <w:lang w:val="en-GB"/>
        </w:rPr>
        <w:t>s</w:t>
      </w:r>
      <w:r w:rsidR="00DB7390">
        <w:rPr>
          <w:lang w:val="en-GB"/>
        </w:rPr>
        <w:t>ations</w:t>
      </w:r>
      <w:r w:rsidR="00D75384">
        <w:rPr>
          <w:lang w:val="en-GB"/>
        </w:rPr>
        <w:t>.</w:t>
      </w:r>
      <w:r w:rsidR="00C40EAD" w:rsidRPr="00F7318C">
        <w:rPr>
          <w:lang w:val="en-GB"/>
        </w:rPr>
        <w:t xml:space="preserve"> </w:t>
      </w:r>
      <w:r w:rsidR="00D75384">
        <w:rPr>
          <w:lang w:val="en-GB"/>
        </w:rPr>
        <w:t>The</w:t>
      </w:r>
      <w:r w:rsidR="00C40EAD" w:rsidRPr="00F7318C">
        <w:rPr>
          <w:lang w:val="en-GB"/>
        </w:rPr>
        <w:t xml:space="preserve"> </w:t>
      </w:r>
      <w:r w:rsidR="00DE36EC">
        <w:rPr>
          <w:lang w:val="en-GB"/>
        </w:rPr>
        <w:t xml:space="preserve">official </w:t>
      </w:r>
      <w:r w:rsidR="00C40EAD" w:rsidRPr="00F7318C">
        <w:rPr>
          <w:lang w:val="en-GB"/>
        </w:rPr>
        <w:t>call</w:t>
      </w:r>
      <w:r w:rsidR="00D53682">
        <w:rPr>
          <w:lang w:val="en-GB"/>
        </w:rPr>
        <w:t xml:space="preserve"> announcement</w:t>
      </w:r>
      <w:r w:rsidR="00D75384">
        <w:rPr>
          <w:lang w:val="en-GB"/>
        </w:rPr>
        <w:t xml:space="preserve">, to </w:t>
      </w:r>
      <w:proofErr w:type="gramStart"/>
      <w:r w:rsidR="00D75384">
        <w:rPr>
          <w:lang w:val="en-GB"/>
        </w:rPr>
        <w:t>be</w:t>
      </w:r>
      <w:r w:rsidR="00D75384" w:rsidRPr="00F7318C">
        <w:rPr>
          <w:lang w:val="en-GB"/>
        </w:rPr>
        <w:t xml:space="preserve"> published</w:t>
      </w:r>
      <w:proofErr w:type="gramEnd"/>
      <w:r w:rsidR="00D75384" w:rsidRPr="00F7318C">
        <w:rPr>
          <w:lang w:val="en-GB"/>
        </w:rPr>
        <w:t xml:space="preserve"> </w:t>
      </w:r>
      <w:r w:rsidR="00D75384">
        <w:rPr>
          <w:lang w:val="en-GB"/>
        </w:rPr>
        <w:t>later,</w:t>
      </w:r>
      <w:r w:rsidR="00D53682">
        <w:rPr>
          <w:lang w:val="en-GB"/>
        </w:rPr>
        <w:t xml:space="preserve"> shall prevail</w:t>
      </w:r>
      <w:r w:rsidR="00C40EAD" w:rsidRPr="00F7318C">
        <w:rPr>
          <w:lang w:val="en-GB"/>
        </w:rPr>
        <w:t>.</w:t>
      </w:r>
      <w:r w:rsidR="005A5AAC">
        <w:rPr>
          <w:lang w:val="en-GB"/>
        </w:rPr>
        <w:t xml:space="preserve"> </w:t>
      </w:r>
      <w:r w:rsidR="00A1518B">
        <w:rPr>
          <w:lang w:val="en-GB"/>
        </w:rPr>
        <w:t>The contact point of your</w:t>
      </w:r>
      <w:r w:rsidR="005A5AAC">
        <w:rPr>
          <w:lang w:val="en-GB"/>
        </w:rPr>
        <w:t xml:space="preserve"> </w:t>
      </w:r>
      <w:r w:rsidR="00DB7390">
        <w:rPr>
          <w:lang w:val="en-GB"/>
        </w:rPr>
        <w:t xml:space="preserve">funding organisation </w:t>
      </w:r>
      <w:r w:rsidR="00A1518B">
        <w:rPr>
          <w:lang w:val="en-GB"/>
        </w:rPr>
        <w:t>remains at your disposal for any f</w:t>
      </w:r>
      <w:r w:rsidR="005A5AAC">
        <w:rPr>
          <w:lang w:val="en-GB"/>
        </w:rPr>
        <w:t xml:space="preserve">urther </w:t>
      </w:r>
      <w:r w:rsidR="00A1518B">
        <w:rPr>
          <w:lang w:val="en-GB"/>
        </w:rPr>
        <w:t xml:space="preserve">information (see </w:t>
      </w:r>
      <w:hyperlink r:id="rId13" w:history="1">
        <w:r w:rsidR="00A1518B">
          <w:rPr>
            <w:rStyle w:val="Hyperlink"/>
            <w:lang w:val="en-GB"/>
          </w:rPr>
          <w:t>Consortium</w:t>
        </w:r>
      </w:hyperlink>
      <w:r w:rsidR="00A1518B">
        <w:rPr>
          <w:lang w:val="en-GB"/>
        </w:rPr>
        <w:t>)</w:t>
      </w:r>
      <w:r w:rsidR="005A5AAC">
        <w:rPr>
          <w:lang w:val="en-GB"/>
        </w:rPr>
        <w:t xml:space="preserve">. </w:t>
      </w:r>
      <w:bookmarkStart w:id="5" w:name="_Toc366672483"/>
      <w:bookmarkEnd w:id="0"/>
      <w:bookmarkEnd w:id="1"/>
      <w:bookmarkEnd w:id="2"/>
      <w:bookmarkEnd w:id="3"/>
      <w:r w:rsidR="0098216D" w:rsidRPr="0007624C">
        <w:rPr>
          <w:lang w:val="en-GB"/>
        </w:rPr>
        <w:br w:type="page"/>
      </w:r>
    </w:p>
    <w:p w14:paraId="355153E9" w14:textId="6E42624A" w:rsidR="00790432" w:rsidRPr="00D804FF" w:rsidRDefault="00790432" w:rsidP="006B3AB8">
      <w:pPr>
        <w:pStyle w:val="Heading2topic"/>
        <w:spacing w:before="240" w:after="120"/>
      </w:pPr>
      <w:proofErr w:type="gramStart"/>
      <w:r w:rsidRPr="00D804FF">
        <w:lastRenderedPageBreak/>
        <w:t>1</w:t>
      </w:r>
      <w:r w:rsidRPr="00D804FF">
        <w:rPr>
          <w:vertAlign w:val="superscript"/>
        </w:rPr>
        <w:t>st</w:t>
      </w:r>
      <w:proofErr w:type="gramEnd"/>
      <w:r w:rsidRPr="00D804FF">
        <w:t xml:space="preserve"> Topic: </w:t>
      </w:r>
      <w:bookmarkEnd w:id="5"/>
      <w:r w:rsidR="00E055F3" w:rsidRPr="00D804FF">
        <w:rPr>
          <w:sz w:val="28"/>
          <w:szCs w:val="28"/>
        </w:rPr>
        <w:t>Object recognition and manipulation by robots: Data sharing and experiment reproducibility (ORMR)</w:t>
      </w:r>
    </w:p>
    <w:p w14:paraId="71CADDE0" w14:textId="77777777" w:rsidR="00436F71" w:rsidRPr="00436F71" w:rsidRDefault="00436F71" w:rsidP="00436F71">
      <w:pPr>
        <w:jc w:val="both"/>
        <w:rPr>
          <w:lang w:val="en-GB"/>
        </w:rPr>
      </w:pPr>
      <w:bookmarkStart w:id="6" w:name="_Toc366672484"/>
      <w:r w:rsidRPr="00436F71">
        <w:rPr>
          <w:lang w:val="en-GB"/>
        </w:rPr>
        <w:t xml:space="preserve">The ability to recognise and manipulate objects is central to robotics. For example, it might be useful for a robot to recognise a certain object requested by a user, and to determine if and how the object </w:t>
      </w:r>
      <w:proofErr w:type="gramStart"/>
      <w:r w:rsidRPr="00436F71">
        <w:rPr>
          <w:lang w:val="en-GB"/>
        </w:rPr>
        <w:t>can be safely grasped</w:t>
      </w:r>
      <w:proofErr w:type="gramEnd"/>
      <w:r w:rsidRPr="00436F71">
        <w:rPr>
          <w:lang w:val="en-GB"/>
        </w:rPr>
        <w:t xml:space="preserve"> in order to fetch it. However, despite decades of research, such abilities remain limited in practice. Some of the limiting factors are a paucity of usable, large data sets for training robust models for the tasks under study, a lack of objective evaluation protocols to test these models in a comparable way, and more generally the challenge of reproducing results.</w:t>
      </w:r>
    </w:p>
    <w:p w14:paraId="0EAEE080" w14:textId="77777777" w:rsidR="00436F71" w:rsidRPr="00436F71" w:rsidRDefault="00436F71" w:rsidP="00436F71">
      <w:pPr>
        <w:jc w:val="both"/>
        <w:rPr>
          <w:lang w:val="en-GB"/>
        </w:rPr>
      </w:pPr>
      <w:r w:rsidRPr="00436F71">
        <w:rPr>
          <w:lang w:val="en-GB"/>
        </w:rPr>
        <w:t>The purpose of this call is to progress the field of robotic perception and manipulation, building solid scientific foundations of experimental reproducibility through transparent sharing of data and methods. This call challenges researchers to propose collaborative projects, which will simultaneously address the three pillars of recognition, manipulation and reproducibility within this domain.</w:t>
      </w:r>
    </w:p>
    <w:p w14:paraId="65E7475E" w14:textId="77777777" w:rsidR="00436F71" w:rsidRDefault="00436F71" w:rsidP="00436F71">
      <w:pPr>
        <w:pStyle w:val="Heading2"/>
        <w:spacing w:before="240" w:after="120"/>
      </w:pPr>
      <w:r>
        <w:t>Target Outcomes</w:t>
      </w:r>
    </w:p>
    <w:p w14:paraId="74A9DC2E" w14:textId="77777777" w:rsidR="00436F71" w:rsidRPr="00436F71" w:rsidRDefault="00436F71" w:rsidP="00436F71">
      <w:pPr>
        <w:jc w:val="both"/>
        <w:rPr>
          <w:lang w:val="en-GB"/>
        </w:rPr>
      </w:pPr>
      <w:r w:rsidRPr="00436F71">
        <w:rPr>
          <w:lang w:val="en-GB"/>
        </w:rPr>
        <w:t>Projects should aim to enable the development of robots, which are able to accurately recognise</w:t>
      </w:r>
      <w:r w:rsidRPr="00436F71">
        <w:rPr>
          <w:i/>
          <w:lang w:val="en-GB"/>
        </w:rPr>
        <w:t xml:space="preserve"> </w:t>
      </w:r>
      <w:r w:rsidRPr="00436F71">
        <w:rPr>
          <w:lang w:val="en-GB"/>
        </w:rPr>
        <w:t xml:space="preserve">and appropriately manipulate objects in various environments. Projects should lead to quantitative </w:t>
      </w:r>
      <w:proofErr w:type="gramStart"/>
      <w:r w:rsidRPr="00436F71">
        <w:rPr>
          <w:lang w:val="en-GB"/>
        </w:rPr>
        <w:t>results which</w:t>
      </w:r>
      <w:proofErr w:type="gramEnd"/>
      <w:r w:rsidRPr="00436F71">
        <w:rPr>
          <w:lang w:val="en-GB"/>
        </w:rPr>
        <w:t xml:space="preserve"> can be reproduced by others. Project teams should in particular make publicly available all the data, protocol description and software metrics needed to reproduce experiments. Appropriate efforts and means for doing so </w:t>
      </w:r>
      <w:proofErr w:type="gramStart"/>
      <w:r w:rsidRPr="00436F71">
        <w:rPr>
          <w:lang w:val="en-GB"/>
        </w:rPr>
        <w:t>should be foreseen</w:t>
      </w:r>
      <w:proofErr w:type="gramEnd"/>
      <w:r w:rsidRPr="00436F71">
        <w:rPr>
          <w:lang w:val="en-GB"/>
        </w:rPr>
        <w:t xml:space="preserve">. Projects should address real-world challenges, and record and annotate robotic perceptions in order to experiment with different approaches for these challenges. Enough data from various environments and contexts </w:t>
      </w:r>
      <w:proofErr w:type="gramStart"/>
      <w:r w:rsidRPr="00436F71">
        <w:rPr>
          <w:lang w:val="en-GB"/>
        </w:rPr>
        <w:t>should be used</w:t>
      </w:r>
      <w:proofErr w:type="gramEnd"/>
      <w:r w:rsidRPr="00436F71">
        <w:rPr>
          <w:lang w:val="en-GB"/>
        </w:rPr>
        <w:t xml:space="preserve"> to show the robustness of the experimented approaches.</w:t>
      </w:r>
    </w:p>
    <w:p w14:paraId="3370B44B" w14:textId="77777777" w:rsidR="00436F71" w:rsidRPr="00436F71" w:rsidRDefault="00436F71" w:rsidP="00436F71">
      <w:pPr>
        <w:spacing w:line="240" w:lineRule="auto"/>
        <w:jc w:val="both"/>
        <w:rPr>
          <w:rFonts w:cstheme="minorHAnsi"/>
          <w:lang w:val="en-GB"/>
        </w:rPr>
      </w:pPr>
      <w:r w:rsidRPr="00436F71">
        <w:rPr>
          <w:rFonts w:cstheme="minorHAnsi"/>
          <w:lang w:val="en-GB"/>
        </w:rPr>
        <w:t xml:space="preserve">Key challenges </w:t>
      </w:r>
      <w:proofErr w:type="gramStart"/>
      <w:r w:rsidRPr="00436F71">
        <w:rPr>
          <w:rFonts w:cstheme="minorHAnsi"/>
          <w:lang w:val="en-GB"/>
        </w:rPr>
        <w:t>are expected</w:t>
      </w:r>
      <w:proofErr w:type="gramEnd"/>
      <w:r w:rsidRPr="00436F71">
        <w:rPr>
          <w:rFonts w:cstheme="minorHAnsi"/>
          <w:lang w:val="en-GB"/>
        </w:rPr>
        <w:t xml:space="preserve"> to be:</w:t>
      </w:r>
    </w:p>
    <w:p w14:paraId="05C16429"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Perceiving or predicting physical properties (shape, orientation, mass, fragility, etc.) of objects or environments;</w:t>
      </w:r>
    </w:p>
    <w:p w14:paraId="672C343C"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Handling of unknown objects and environments;</w:t>
      </w:r>
    </w:p>
    <w:p w14:paraId="25DCDC9B"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Developing systems which are capable of operating in ambiguous contexts;</w:t>
      </w:r>
    </w:p>
    <w:p w14:paraId="2507F4FC"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Managing the perception-action loop;</w:t>
      </w:r>
    </w:p>
    <w:p w14:paraId="3D4E36BF"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Interaction and cooperation with humans or other robots;</w:t>
      </w:r>
    </w:p>
    <w:p w14:paraId="7C9716FF"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Designing safe, secure, robust and ethically-sound systems;</w:t>
      </w:r>
    </w:p>
    <w:p w14:paraId="4B5A3E21" w14:textId="77777777" w:rsidR="00436F71" w:rsidRPr="00CB4437" w:rsidRDefault="00436F71" w:rsidP="00436F71">
      <w:pPr>
        <w:pStyle w:val="ListParagraph"/>
        <w:numPr>
          <w:ilvl w:val="0"/>
          <w:numId w:val="32"/>
        </w:numPr>
        <w:spacing w:after="200" w:line="240" w:lineRule="auto"/>
        <w:jc w:val="both"/>
        <w:rPr>
          <w:rFonts w:cstheme="minorHAnsi"/>
        </w:rPr>
      </w:pPr>
      <w:r w:rsidRPr="00CB4437">
        <w:rPr>
          <w:rFonts w:cstheme="minorHAnsi"/>
        </w:rPr>
        <w:t>Independent</w:t>
      </w:r>
      <w:r>
        <w:rPr>
          <w:rFonts w:cstheme="minorHAnsi"/>
        </w:rPr>
        <w:t xml:space="preserve"> </w:t>
      </w:r>
      <w:proofErr w:type="spellStart"/>
      <w:r>
        <w:rPr>
          <w:rFonts w:cstheme="minorHAnsi"/>
        </w:rPr>
        <w:t>and</w:t>
      </w:r>
      <w:proofErr w:type="spellEnd"/>
      <w:r w:rsidRPr="00CB4437">
        <w:rPr>
          <w:rFonts w:cstheme="minorHAnsi"/>
        </w:rPr>
        <w:t xml:space="preserve"> </w:t>
      </w:r>
      <w:proofErr w:type="spellStart"/>
      <w:r w:rsidRPr="00CB4437">
        <w:rPr>
          <w:rFonts w:cstheme="minorHAnsi"/>
        </w:rPr>
        <w:t>objective</w:t>
      </w:r>
      <w:proofErr w:type="spellEnd"/>
      <w:r w:rsidRPr="00CB4437">
        <w:rPr>
          <w:rFonts w:cstheme="minorHAnsi"/>
        </w:rPr>
        <w:t xml:space="preserve"> </w:t>
      </w:r>
      <w:proofErr w:type="spellStart"/>
      <w:r w:rsidRPr="00CB4437">
        <w:rPr>
          <w:rFonts w:cstheme="minorHAnsi"/>
        </w:rPr>
        <w:t>evaluation</w:t>
      </w:r>
      <w:proofErr w:type="spellEnd"/>
      <w:r w:rsidRPr="00CB4437">
        <w:rPr>
          <w:rFonts w:cstheme="minorHAnsi"/>
        </w:rPr>
        <w:t>;</w:t>
      </w:r>
    </w:p>
    <w:p w14:paraId="600E5DD0"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Criteria and measures for reproducibility.</w:t>
      </w:r>
    </w:p>
    <w:p w14:paraId="2231EEFF" w14:textId="77777777" w:rsidR="00436F71" w:rsidRPr="004F2289" w:rsidRDefault="00436F71" w:rsidP="00436F71">
      <w:pPr>
        <w:pStyle w:val="Heading2"/>
        <w:spacing w:before="240" w:after="120"/>
        <w:jc w:val="both"/>
      </w:pPr>
      <w:r>
        <w:t xml:space="preserve">Approaches to Maximise Expected </w:t>
      </w:r>
      <w:r w:rsidRPr="004F2289">
        <w:t>Impact</w:t>
      </w:r>
      <w:r>
        <w:t>s</w:t>
      </w:r>
    </w:p>
    <w:p w14:paraId="70AA7ED5" w14:textId="77777777" w:rsidR="00436F71" w:rsidRPr="00436F71" w:rsidRDefault="00436F71" w:rsidP="00436F71">
      <w:pPr>
        <w:jc w:val="both"/>
        <w:rPr>
          <w:rFonts w:cstheme="minorHAnsi"/>
          <w:lang w:val="en-GB"/>
        </w:rPr>
      </w:pPr>
      <w:r w:rsidRPr="00436F71">
        <w:rPr>
          <w:rFonts w:cstheme="minorHAnsi"/>
          <w:lang w:val="en-GB"/>
        </w:rPr>
        <w:t>Projects are strongly encouraged to address the following objectives in order to enhance impact:</w:t>
      </w:r>
    </w:p>
    <w:p w14:paraId="57D0952F"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Grant access to the training data, evaluation data and metrics set up by the projects where possible, in order to help build momentum beyond the project consortia;</w:t>
      </w:r>
    </w:p>
    <w:p w14:paraId="77F803D0"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Support the development of objective benchmarks and evaluation strategies for research in this domain;</w:t>
      </w:r>
    </w:p>
    <w:p w14:paraId="00B7374E" w14:textId="77777777" w:rsidR="00436F71" w:rsidRPr="00436F71" w:rsidRDefault="00436F71" w:rsidP="00436F71">
      <w:pPr>
        <w:pStyle w:val="ListParagraph"/>
        <w:numPr>
          <w:ilvl w:val="0"/>
          <w:numId w:val="32"/>
        </w:numPr>
        <w:spacing w:after="200" w:line="240" w:lineRule="auto"/>
        <w:jc w:val="both"/>
        <w:rPr>
          <w:rFonts w:cstheme="minorHAnsi"/>
          <w:lang w:val="en-GB"/>
        </w:rPr>
      </w:pPr>
      <w:proofErr w:type="gramStart"/>
      <w:r w:rsidRPr="00436F71">
        <w:rPr>
          <w:rFonts w:cstheme="minorHAnsi"/>
          <w:lang w:val="en-GB"/>
        </w:rPr>
        <w:t>Cross traditional</w:t>
      </w:r>
      <w:proofErr w:type="gramEnd"/>
      <w:r w:rsidRPr="00436F71">
        <w:rPr>
          <w:rFonts w:cstheme="minorHAnsi"/>
          <w:lang w:val="en-GB"/>
        </w:rPr>
        <w:t xml:space="preserve"> boundaries between disciplines in order to strengthen the community involved in tackling these new challenges. A broad range of disciplines needed to cover the breadth of this topic </w:t>
      </w:r>
      <w:proofErr w:type="gramStart"/>
      <w:r w:rsidRPr="00436F71">
        <w:rPr>
          <w:rFonts w:cstheme="minorHAnsi"/>
          <w:lang w:val="en-GB"/>
        </w:rPr>
        <w:t>should be considered</w:t>
      </w:r>
      <w:proofErr w:type="gramEnd"/>
      <w:r w:rsidRPr="00436F71">
        <w:rPr>
          <w:rFonts w:cstheme="minorHAnsi"/>
          <w:lang w:val="en-GB"/>
        </w:rPr>
        <w:t xml:space="preserve"> and could include expertise and skills in computer vision, embodied cognition, performance evaluation and robot ethics, among others.</w:t>
      </w:r>
    </w:p>
    <w:p w14:paraId="0FD15ED1"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Training and dissemination with a view to strengthening European research, knowledge and expertise in the topic areas;</w:t>
      </w:r>
    </w:p>
    <w:p w14:paraId="6E2F233C" w14:textId="77777777" w:rsidR="00436F71" w:rsidRPr="00436F71" w:rsidRDefault="00436F71" w:rsidP="00436F71">
      <w:pPr>
        <w:pStyle w:val="ListParagraph"/>
        <w:numPr>
          <w:ilvl w:val="0"/>
          <w:numId w:val="32"/>
        </w:numPr>
        <w:spacing w:after="200" w:line="240" w:lineRule="auto"/>
        <w:jc w:val="both"/>
        <w:rPr>
          <w:rFonts w:cstheme="minorHAnsi"/>
          <w:lang w:val="en-GB"/>
        </w:rPr>
      </w:pPr>
      <w:r w:rsidRPr="00436F71">
        <w:rPr>
          <w:rFonts w:cstheme="minorHAnsi"/>
          <w:lang w:val="en-GB"/>
        </w:rPr>
        <w:t xml:space="preserve">Expand understanding and </w:t>
      </w:r>
      <w:proofErr w:type="gramStart"/>
      <w:r w:rsidRPr="00436F71">
        <w:rPr>
          <w:rFonts w:cstheme="minorHAnsi"/>
          <w:lang w:val="en-GB"/>
        </w:rPr>
        <w:t>engage with stakeholders on the issues of long-term security, ethical and legal issues associated with the adoption of intelligent and autonomous systems</w:t>
      </w:r>
      <w:proofErr w:type="gramEnd"/>
      <w:r w:rsidRPr="00436F71">
        <w:rPr>
          <w:rFonts w:cstheme="minorHAnsi"/>
          <w:lang w:val="en-GB"/>
        </w:rPr>
        <w:t>.</w:t>
      </w:r>
    </w:p>
    <w:p w14:paraId="52249D2E" w14:textId="2540DDA2" w:rsidR="00790432" w:rsidRPr="00D804FF" w:rsidRDefault="00790432" w:rsidP="00705864">
      <w:pPr>
        <w:pStyle w:val="Heading2topic"/>
        <w:spacing w:before="240" w:after="120"/>
        <w:rPr>
          <w:sz w:val="24"/>
          <w:szCs w:val="24"/>
        </w:rPr>
      </w:pPr>
      <w:proofErr w:type="gramStart"/>
      <w:r w:rsidRPr="00D804FF">
        <w:lastRenderedPageBreak/>
        <w:t>2</w:t>
      </w:r>
      <w:r w:rsidRPr="00D804FF">
        <w:rPr>
          <w:vertAlign w:val="superscript"/>
        </w:rPr>
        <w:t>nd</w:t>
      </w:r>
      <w:proofErr w:type="gramEnd"/>
      <w:r w:rsidRPr="00D804FF">
        <w:t xml:space="preserve"> T</w:t>
      </w:r>
      <w:r w:rsidRPr="00705864">
        <w:rPr>
          <w:sz w:val="28"/>
          <w:szCs w:val="28"/>
        </w:rPr>
        <w:t xml:space="preserve">opic: </w:t>
      </w:r>
      <w:bookmarkEnd w:id="6"/>
      <w:r w:rsidR="00D804FF" w:rsidRPr="000456A5">
        <w:rPr>
          <w:sz w:val="28"/>
          <w:szCs w:val="28"/>
        </w:rPr>
        <w:t>B</w:t>
      </w:r>
      <w:r w:rsidR="00E055F3" w:rsidRPr="00705864">
        <w:rPr>
          <w:sz w:val="28"/>
          <w:szCs w:val="28"/>
        </w:rPr>
        <w:t xml:space="preserve">ig data </w:t>
      </w:r>
      <w:r w:rsidR="00E055F3" w:rsidRPr="00D804FF">
        <w:rPr>
          <w:sz w:val="28"/>
        </w:rPr>
        <w:t xml:space="preserve">and process modelling for smart </w:t>
      </w:r>
      <w:r w:rsidR="00D804FF" w:rsidRPr="00D804FF">
        <w:rPr>
          <w:sz w:val="28"/>
        </w:rPr>
        <w:t>industry (</w:t>
      </w:r>
      <w:r w:rsidR="00E055F3" w:rsidRPr="00D804FF">
        <w:rPr>
          <w:sz w:val="28"/>
        </w:rPr>
        <w:t>BD</w:t>
      </w:r>
      <w:r w:rsidR="00D804FF" w:rsidRPr="00D804FF">
        <w:rPr>
          <w:sz w:val="28"/>
        </w:rPr>
        <w:t>SI</w:t>
      </w:r>
      <w:r w:rsidR="00E055F3" w:rsidRPr="00D804FF">
        <w:rPr>
          <w:sz w:val="28"/>
        </w:rPr>
        <w:t>)</w:t>
      </w:r>
    </w:p>
    <w:p w14:paraId="41163818" w14:textId="77777777" w:rsidR="002D39B9" w:rsidRPr="002D39B9" w:rsidRDefault="002D39B9" w:rsidP="002D39B9">
      <w:pPr>
        <w:jc w:val="both"/>
        <w:rPr>
          <w:lang w:val="en-GB"/>
        </w:rPr>
      </w:pPr>
      <w:r w:rsidRPr="002D39B9">
        <w:rPr>
          <w:lang w:val="en-GB"/>
        </w:rPr>
        <w:t xml:space="preserve">Industry </w:t>
      </w:r>
      <w:proofErr w:type="gramStart"/>
      <w:r w:rsidRPr="002D39B9">
        <w:rPr>
          <w:lang w:val="en-GB"/>
        </w:rPr>
        <w:t>is becoming increasingly digitized</w:t>
      </w:r>
      <w:proofErr w:type="gramEnd"/>
      <w:r w:rsidRPr="002D39B9">
        <w:rPr>
          <w:lang w:val="en-GB"/>
        </w:rPr>
        <w:t xml:space="preserve">. Production and operational processes generate growing amounts of heterogeneous data, from simple sensor data to complex 3D video streams. This opens the way for new intelligent, flexible, network-centric production and operational approaches where parts, products and machines </w:t>
      </w:r>
      <w:proofErr w:type="gramStart"/>
      <w:r w:rsidRPr="002D39B9">
        <w:rPr>
          <w:lang w:val="en-GB"/>
        </w:rPr>
        <w:t>are interconnected</w:t>
      </w:r>
      <w:proofErr w:type="gramEnd"/>
      <w:r w:rsidRPr="002D39B9">
        <w:rPr>
          <w:lang w:val="en-GB"/>
        </w:rPr>
        <w:t xml:space="preserve"> across equipment, companies and value chains. The goal of these approaches is to enable production and operation at higher yield, higher quality, lower costs, lower environmental footprint and increased flexibility. This evolution </w:t>
      </w:r>
      <w:proofErr w:type="gramStart"/>
      <w:r w:rsidRPr="002D39B9">
        <w:rPr>
          <w:lang w:val="en-GB"/>
        </w:rPr>
        <w:t>is often referred</w:t>
      </w:r>
      <w:proofErr w:type="gramEnd"/>
      <w:r w:rsidRPr="002D39B9">
        <w:rPr>
          <w:lang w:val="en-GB"/>
        </w:rPr>
        <w:t xml:space="preserve"> to as the fourth industrial revolution, and it is relevant to most industrial sectors.</w:t>
      </w:r>
    </w:p>
    <w:p w14:paraId="0C72C910" w14:textId="77777777" w:rsidR="002D39B9" w:rsidRPr="002D39B9" w:rsidRDefault="002D39B9" w:rsidP="002D39B9">
      <w:pPr>
        <w:jc w:val="both"/>
        <w:rPr>
          <w:lang w:val="en-GB"/>
        </w:rPr>
      </w:pPr>
      <w:r w:rsidRPr="002D39B9">
        <w:rPr>
          <w:lang w:val="en-GB"/>
        </w:rPr>
        <w:t xml:space="preserve">The aim of this call is to progress basic research on new information technologies for smart industries. Intelligent context-aware automation </w:t>
      </w:r>
      <w:proofErr w:type="gramStart"/>
      <w:r w:rsidRPr="002D39B9">
        <w:rPr>
          <w:lang w:val="en-GB"/>
        </w:rPr>
        <w:t>systems which are fit for purpose</w:t>
      </w:r>
      <w:proofErr w:type="gramEnd"/>
      <w:r w:rsidRPr="002D39B9">
        <w:rPr>
          <w:lang w:val="en-GB"/>
        </w:rPr>
        <w:t xml:space="preserve"> need to be developed. Such systems should be generic enough to be reusable in various settings. Success in this area will strengthen European competitiveness both in science and in industry. This topic is a prime opportunity for science and innovation to benefit by working closely together.</w:t>
      </w:r>
    </w:p>
    <w:p w14:paraId="2A982436" w14:textId="77777777" w:rsidR="002D39B9" w:rsidRPr="00CE0ECC" w:rsidRDefault="002D39B9" w:rsidP="002D39B9">
      <w:pPr>
        <w:pStyle w:val="Heading2"/>
        <w:jc w:val="both"/>
      </w:pPr>
      <w:r w:rsidRPr="00CE0ECC">
        <w:t>Target Outcomes</w:t>
      </w:r>
    </w:p>
    <w:p w14:paraId="29B1E457" w14:textId="77777777" w:rsidR="002D39B9" w:rsidRPr="002D39B9" w:rsidRDefault="002D39B9" w:rsidP="002D39B9">
      <w:pPr>
        <w:jc w:val="both"/>
        <w:rPr>
          <w:lang w:val="en-GB"/>
        </w:rPr>
      </w:pPr>
      <w:r w:rsidRPr="002D39B9">
        <w:rPr>
          <w:lang w:val="en-GB"/>
        </w:rPr>
        <w:t xml:space="preserve">Projects should combine big data and process modelling for optimal and accurate operation. The developed models should be reusable across various contexts and application domains. Their performance should be measureable in an objective way. </w:t>
      </w:r>
    </w:p>
    <w:p w14:paraId="2891A457" w14:textId="77777777" w:rsidR="002D39B9" w:rsidRPr="002D39B9" w:rsidRDefault="002D39B9" w:rsidP="002D39B9">
      <w:pPr>
        <w:spacing w:line="240" w:lineRule="auto"/>
        <w:jc w:val="both"/>
        <w:rPr>
          <w:rFonts w:cstheme="minorHAnsi"/>
          <w:lang w:val="en-GB"/>
        </w:rPr>
      </w:pPr>
      <w:r w:rsidRPr="002D39B9">
        <w:rPr>
          <w:rFonts w:cstheme="minorHAnsi"/>
          <w:lang w:val="en-GB"/>
        </w:rPr>
        <w:t xml:space="preserve">Key challenges and opportunities </w:t>
      </w:r>
      <w:proofErr w:type="gramStart"/>
      <w:r w:rsidRPr="002D39B9">
        <w:rPr>
          <w:rFonts w:cstheme="minorHAnsi"/>
          <w:lang w:val="en-GB"/>
        </w:rPr>
        <w:t>are expected</w:t>
      </w:r>
      <w:proofErr w:type="gramEnd"/>
      <w:r w:rsidRPr="002D39B9">
        <w:rPr>
          <w:rFonts w:cstheme="minorHAnsi"/>
          <w:lang w:val="en-GB"/>
        </w:rPr>
        <w:t xml:space="preserve"> to be:</w:t>
      </w:r>
    </w:p>
    <w:p w14:paraId="765A6310" w14:textId="77777777" w:rsidR="002D39B9" w:rsidRPr="00CE0ECC" w:rsidRDefault="002D39B9" w:rsidP="002D39B9">
      <w:pPr>
        <w:pStyle w:val="ListParagraph"/>
        <w:numPr>
          <w:ilvl w:val="0"/>
          <w:numId w:val="32"/>
        </w:numPr>
        <w:spacing w:after="200" w:line="240" w:lineRule="auto"/>
        <w:jc w:val="both"/>
        <w:rPr>
          <w:rFonts w:cstheme="minorHAnsi"/>
        </w:rPr>
      </w:pPr>
      <w:r w:rsidRPr="00CE0ECC">
        <w:rPr>
          <w:rFonts w:cstheme="minorHAnsi"/>
        </w:rPr>
        <w:t>Large-</w:t>
      </w:r>
      <w:proofErr w:type="spellStart"/>
      <w:r w:rsidRPr="00CE0ECC">
        <w:rPr>
          <w:rFonts w:cstheme="minorHAnsi"/>
        </w:rPr>
        <w:t>scale</w:t>
      </w:r>
      <w:proofErr w:type="spellEnd"/>
      <w:r w:rsidRPr="00CE0ECC">
        <w:rPr>
          <w:rFonts w:cstheme="minorHAnsi"/>
        </w:rPr>
        <w:t xml:space="preserve">, </w:t>
      </w:r>
      <w:proofErr w:type="spellStart"/>
      <w:r w:rsidRPr="00CE0ECC">
        <w:rPr>
          <w:rFonts w:cstheme="minorHAnsi"/>
        </w:rPr>
        <w:t>complex</w:t>
      </w:r>
      <w:proofErr w:type="spellEnd"/>
      <w:r w:rsidRPr="00CE0ECC">
        <w:rPr>
          <w:rFonts w:cstheme="minorHAnsi"/>
        </w:rPr>
        <w:t xml:space="preserve"> </w:t>
      </w:r>
      <w:proofErr w:type="spellStart"/>
      <w:r w:rsidRPr="00CE0ECC">
        <w:rPr>
          <w:rFonts w:cstheme="minorHAnsi"/>
        </w:rPr>
        <w:t>systems</w:t>
      </w:r>
      <w:proofErr w:type="spellEnd"/>
      <w:r w:rsidRPr="00CE0ECC">
        <w:rPr>
          <w:rFonts w:cstheme="minorHAnsi"/>
        </w:rPr>
        <w:t xml:space="preserve"> </w:t>
      </w:r>
      <w:r>
        <w:rPr>
          <w:rFonts w:cstheme="minorHAnsi"/>
        </w:rPr>
        <w:t>in</w:t>
      </w:r>
      <w:r w:rsidRPr="00CE0ECC">
        <w:rPr>
          <w:rFonts w:cstheme="minorHAnsi"/>
        </w:rPr>
        <w:t xml:space="preserve"> </w:t>
      </w:r>
      <w:proofErr w:type="spellStart"/>
      <w:r w:rsidRPr="00CE0ECC">
        <w:rPr>
          <w:rFonts w:cstheme="minorHAnsi"/>
        </w:rPr>
        <w:t>dynamic</w:t>
      </w:r>
      <w:proofErr w:type="spellEnd"/>
      <w:r w:rsidRPr="00CE0ECC">
        <w:rPr>
          <w:rFonts w:cstheme="minorHAnsi"/>
        </w:rPr>
        <w:t xml:space="preserve"> </w:t>
      </w:r>
      <w:proofErr w:type="spellStart"/>
      <w:r w:rsidRPr="00CE0ECC">
        <w:rPr>
          <w:rFonts w:cstheme="minorHAnsi"/>
        </w:rPr>
        <w:t>environments</w:t>
      </w:r>
      <w:proofErr w:type="spellEnd"/>
      <w:r w:rsidRPr="00CE0ECC">
        <w:rPr>
          <w:rFonts w:cstheme="minorHAnsi"/>
        </w:rPr>
        <w:t>;</w:t>
      </w:r>
    </w:p>
    <w:p w14:paraId="04974544"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Designing conceptual models for autonomous or semi-autonomous decision support;</w:t>
      </w:r>
    </w:p>
    <w:p w14:paraId="3A48FD46"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Intelligent fusion of multiple data streams;</w:t>
      </w:r>
    </w:p>
    <w:p w14:paraId="1D29296B"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Integration of heterogeneous, structured and unstructured data;</w:t>
      </w:r>
    </w:p>
    <w:p w14:paraId="4F26B02F"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Combining a priori knowledge and models with empirically derived data;</w:t>
      </w:r>
    </w:p>
    <w:p w14:paraId="1A41CB66"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Undertaking research in collaboration with industrial partners who can provide representative data;</w:t>
      </w:r>
    </w:p>
    <w:p w14:paraId="6924D71A"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Managing to combine the requirements for privacy, security and intellectual property with the need to develop models openly;</w:t>
      </w:r>
    </w:p>
    <w:p w14:paraId="455CF27C"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Taking advantage of collaboration to collect data from multiple international environments (physical, cultural and regulatory);</w:t>
      </w:r>
    </w:p>
    <w:p w14:paraId="19CF6A6C"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Implement independent evaluation of systems, data and outputs.</w:t>
      </w:r>
    </w:p>
    <w:p w14:paraId="45326FE0" w14:textId="77777777" w:rsidR="002D39B9" w:rsidRPr="00CE0ECC" w:rsidRDefault="002D39B9" w:rsidP="002D39B9">
      <w:pPr>
        <w:pStyle w:val="Heading2"/>
        <w:jc w:val="both"/>
      </w:pPr>
      <w:r w:rsidRPr="00CE0ECC">
        <w:t>Approaches to Maximise Expected Impacts</w:t>
      </w:r>
    </w:p>
    <w:p w14:paraId="3AFAB885" w14:textId="77777777" w:rsidR="002D39B9" w:rsidRPr="002D39B9" w:rsidRDefault="002D39B9" w:rsidP="002D39B9">
      <w:pPr>
        <w:jc w:val="both"/>
        <w:rPr>
          <w:rFonts w:cstheme="minorHAnsi"/>
          <w:lang w:val="en-GB"/>
        </w:rPr>
      </w:pPr>
      <w:r w:rsidRPr="002D39B9">
        <w:rPr>
          <w:rFonts w:cstheme="minorHAnsi"/>
          <w:lang w:val="en-GB"/>
        </w:rPr>
        <w:t>Projects are strongly encouraged to address the following objectives in order to enhance impact:</w:t>
      </w:r>
    </w:p>
    <w:p w14:paraId="3F859F7B"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Where possible, aim to ensure that data used by the project can be made usable beyond the project, in order to help build momentum beyond the project consortia;</w:t>
      </w:r>
    </w:p>
    <w:p w14:paraId="0444115F"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Take advantage of international collaboration to make impact on multiple countries and markets;</w:t>
      </w:r>
    </w:p>
    <w:p w14:paraId="425B1B44"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Training and dissemination with a view to strengthening European research, knowledge and expertise in the topic areas;</w:t>
      </w:r>
    </w:p>
    <w:p w14:paraId="3C31CA8F" w14:textId="77777777" w:rsidR="002D39B9" w:rsidRPr="002D39B9" w:rsidRDefault="002D39B9" w:rsidP="002D39B9">
      <w:pPr>
        <w:pStyle w:val="ListParagraph"/>
        <w:numPr>
          <w:ilvl w:val="0"/>
          <w:numId w:val="32"/>
        </w:numPr>
        <w:spacing w:after="200" w:line="240" w:lineRule="auto"/>
        <w:jc w:val="both"/>
        <w:rPr>
          <w:rFonts w:cstheme="minorHAnsi"/>
          <w:lang w:val="en-GB"/>
        </w:rPr>
      </w:pPr>
      <w:r w:rsidRPr="002D39B9">
        <w:rPr>
          <w:rFonts w:cstheme="minorHAnsi"/>
          <w:lang w:val="en-GB"/>
        </w:rPr>
        <w:t>Support the development of objective benchmarks and evaluation strategies for research in this domain;</w:t>
      </w:r>
    </w:p>
    <w:p w14:paraId="5D349508" w14:textId="77777777" w:rsidR="002D39B9" w:rsidRPr="002D39B9" w:rsidRDefault="002D39B9" w:rsidP="002D39B9">
      <w:pPr>
        <w:pStyle w:val="ListParagraph"/>
        <w:numPr>
          <w:ilvl w:val="0"/>
          <w:numId w:val="32"/>
        </w:numPr>
        <w:spacing w:after="200"/>
        <w:jc w:val="both"/>
        <w:rPr>
          <w:rFonts w:cstheme="minorHAnsi"/>
          <w:lang w:val="en-GB"/>
        </w:rPr>
      </w:pPr>
      <w:r w:rsidRPr="002D39B9">
        <w:rPr>
          <w:rFonts w:cstheme="minorHAnsi"/>
          <w:lang w:val="en-GB"/>
        </w:rPr>
        <w:t xml:space="preserve">Expand understanding and </w:t>
      </w:r>
      <w:proofErr w:type="gramStart"/>
      <w:r w:rsidRPr="002D39B9">
        <w:rPr>
          <w:rFonts w:cstheme="minorHAnsi"/>
          <w:lang w:val="en-GB"/>
        </w:rPr>
        <w:t>engage with stakeholders on the issues of long-term security, ethical and legal issues associated with the adoption of intelligent and autonomous systems</w:t>
      </w:r>
      <w:proofErr w:type="gramEnd"/>
      <w:r w:rsidRPr="002D39B9">
        <w:rPr>
          <w:rFonts w:cstheme="minorHAnsi"/>
          <w:lang w:val="en-GB"/>
        </w:rPr>
        <w:t>.</w:t>
      </w:r>
    </w:p>
    <w:p w14:paraId="2ED1A39F" w14:textId="7DE1235A" w:rsidR="004C14A6" w:rsidRPr="00705864" w:rsidRDefault="004C14A6" w:rsidP="002D39B9">
      <w:pPr>
        <w:jc w:val="both"/>
        <w:rPr>
          <w:rFonts w:cstheme="minorHAnsi"/>
          <w:lang w:val="en-GB"/>
        </w:rPr>
      </w:pPr>
    </w:p>
    <w:sectPr w:rsidR="004C14A6" w:rsidRPr="00705864">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7685" w14:textId="77777777" w:rsidR="00874E34" w:rsidRDefault="00874E34" w:rsidP="001B6A3B">
      <w:pPr>
        <w:spacing w:after="0" w:line="240" w:lineRule="auto"/>
      </w:pPr>
      <w:r>
        <w:separator/>
      </w:r>
    </w:p>
  </w:endnote>
  <w:endnote w:type="continuationSeparator" w:id="0">
    <w:p w14:paraId="6ADAA604" w14:textId="77777777" w:rsidR="00874E34" w:rsidRDefault="00874E34" w:rsidP="001B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504D" w14:textId="1675BC22" w:rsidR="00E96493" w:rsidRPr="00F7318C" w:rsidRDefault="00E96493" w:rsidP="001B6A3B">
    <w:pPr>
      <w:pStyle w:val="Footer"/>
      <w:rPr>
        <w:sz w:val="18"/>
        <w:lang w:val="en-GB"/>
      </w:rPr>
    </w:pPr>
    <w:r>
      <w:rPr>
        <w:sz w:val="18"/>
        <w:lang w:val="en-GB"/>
      </w:rPr>
      <w:t>CHIST-ERA Call 201</w:t>
    </w:r>
    <w:r w:rsidR="00981E04">
      <w:rPr>
        <w:sz w:val="18"/>
        <w:lang w:val="en-GB"/>
      </w:rPr>
      <w:t>7</w:t>
    </w:r>
    <w:r>
      <w:rPr>
        <w:sz w:val="18"/>
        <w:lang w:val="en-GB"/>
      </w:rPr>
      <w:t xml:space="preserve"> Pre-announcement</w:t>
    </w:r>
    <w:r>
      <w:rPr>
        <w:sz w:val="18"/>
        <w:lang w:val="en-GB"/>
      </w:rPr>
      <w:tab/>
    </w:r>
    <w:r w:rsidRPr="00F7318C">
      <w:rPr>
        <w:sz w:val="18"/>
        <w:lang w:val="en-GB"/>
      </w:rPr>
      <w:tab/>
      <w:t xml:space="preserve">Page </w:t>
    </w:r>
    <w:r w:rsidRPr="00F7318C">
      <w:rPr>
        <w:sz w:val="18"/>
        <w:lang w:val="en-GB"/>
      </w:rPr>
      <w:fldChar w:fldCharType="begin"/>
    </w:r>
    <w:r w:rsidRPr="00F7318C">
      <w:rPr>
        <w:sz w:val="18"/>
        <w:lang w:val="en-GB"/>
      </w:rPr>
      <w:instrText xml:space="preserve"> PAGE  \* Arabic  \* MERGEFORMAT </w:instrText>
    </w:r>
    <w:r w:rsidRPr="00F7318C">
      <w:rPr>
        <w:sz w:val="18"/>
        <w:lang w:val="en-GB"/>
      </w:rPr>
      <w:fldChar w:fldCharType="separate"/>
    </w:r>
    <w:r w:rsidR="002E5B3C">
      <w:rPr>
        <w:noProof/>
        <w:sz w:val="18"/>
        <w:lang w:val="en-GB"/>
      </w:rPr>
      <w:t>3</w:t>
    </w:r>
    <w:r w:rsidRPr="00F7318C">
      <w:rPr>
        <w:sz w:val="18"/>
        <w:lang w:val="en-GB"/>
      </w:rPr>
      <w:fldChar w:fldCharType="end"/>
    </w:r>
    <w:r w:rsidRPr="00F7318C">
      <w:rPr>
        <w:sz w:val="18"/>
        <w:lang w:val="en-GB"/>
      </w:rPr>
      <w:t xml:space="preserve"> of </w:t>
    </w:r>
    <w:r w:rsidRPr="00F7318C">
      <w:rPr>
        <w:sz w:val="18"/>
        <w:lang w:val="en-GB"/>
      </w:rPr>
      <w:fldChar w:fldCharType="begin"/>
    </w:r>
    <w:r w:rsidRPr="00F7318C">
      <w:rPr>
        <w:sz w:val="18"/>
        <w:lang w:val="en-GB"/>
      </w:rPr>
      <w:instrText xml:space="preserve"> NUMPAGES  \* Arabic  \* MERGEFORMAT </w:instrText>
    </w:r>
    <w:r w:rsidRPr="00F7318C">
      <w:rPr>
        <w:sz w:val="18"/>
        <w:lang w:val="en-GB"/>
      </w:rPr>
      <w:fldChar w:fldCharType="separate"/>
    </w:r>
    <w:r w:rsidR="002E5B3C">
      <w:rPr>
        <w:noProof/>
        <w:sz w:val="18"/>
        <w:lang w:val="en-GB"/>
      </w:rPr>
      <w:t>3</w:t>
    </w:r>
    <w:r w:rsidRPr="00F7318C">
      <w:rPr>
        <w:sz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0AAF" w14:textId="77777777" w:rsidR="00874E34" w:rsidRDefault="00874E34" w:rsidP="001B6A3B">
      <w:pPr>
        <w:spacing w:after="0" w:line="240" w:lineRule="auto"/>
      </w:pPr>
      <w:r>
        <w:separator/>
      </w:r>
    </w:p>
  </w:footnote>
  <w:footnote w:type="continuationSeparator" w:id="0">
    <w:p w14:paraId="3D45985B" w14:textId="77777777" w:rsidR="00874E34" w:rsidRDefault="00874E34" w:rsidP="001B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9CA"/>
    <w:multiLevelType w:val="hybridMultilevel"/>
    <w:tmpl w:val="81B6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4B0D"/>
    <w:multiLevelType w:val="hybridMultilevel"/>
    <w:tmpl w:val="60B8F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005D7"/>
    <w:multiLevelType w:val="hybridMultilevel"/>
    <w:tmpl w:val="97B463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EA3FAF"/>
    <w:multiLevelType w:val="hybridMultilevel"/>
    <w:tmpl w:val="C3506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6374B"/>
    <w:multiLevelType w:val="hybridMultilevel"/>
    <w:tmpl w:val="012AE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3454C"/>
    <w:multiLevelType w:val="multilevel"/>
    <w:tmpl w:val="16C61D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5F6D58"/>
    <w:multiLevelType w:val="hybridMultilevel"/>
    <w:tmpl w:val="BC382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74339"/>
    <w:multiLevelType w:val="hybridMultilevel"/>
    <w:tmpl w:val="B4A22ED6"/>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33103BB1"/>
    <w:multiLevelType w:val="hybridMultilevel"/>
    <w:tmpl w:val="4D3C6E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4E3391E"/>
    <w:multiLevelType w:val="hybridMultilevel"/>
    <w:tmpl w:val="1D9C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0E77AF"/>
    <w:multiLevelType w:val="hybridMultilevel"/>
    <w:tmpl w:val="816EBF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9AC33ED"/>
    <w:multiLevelType w:val="hybridMultilevel"/>
    <w:tmpl w:val="85D0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C67A10"/>
    <w:multiLevelType w:val="hybridMultilevel"/>
    <w:tmpl w:val="2426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27DBB"/>
    <w:multiLevelType w:val="hybridMultilevel"/>
    <w:tmpl w:val="4ABA3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F075F2"/>
    <w:multiLevelType w:val="hybridMultilevel"/>
    <w:tmpl w:val="42FE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20FF7"/>
    <w:multiLevelType w:val="hybridMultilevel"/>
    <w:tmpl w:val="4458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E8F"/>
    <w:multiLevelType w:val="hybridMultilevel"/>
    <w:tmpl w:val="D1C88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2D131C"/>
    <w:multiLevelType w:val="hybridMultilevel"/>
    <w:tmpl w:val="BDEA6F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693B03"/>
    <w:multiLevelType w:val="multilevel"/>
    <w:tmpl w:val="4C12BC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1F6547"/>
    <w:multiLevelType w:val="hybridMultilevel"/>
    <w:tmpl w:val="5E6E092E"/>
    <w:lvl w:ilvl="0" w:tplc="08070001">
      <w:start w:val="1"/>
      <w:numFmt w:val="bullet"/>
      <w:lvlText w:val=""/>
      <w:lvlJc w:val="left"/>
      <w:pPr>
        <w:ind w:left="720" w:hanging="360"/>
      </w:pPr>
      <w:rPr>
        <w:rFonts w:ascii="Symbol" w:hAnsi="Symbol" w:hint="default"/>
      </w:rPr>
    </w:lvl>
    <w:lvl w:ilvl="1" w:tplc="4D86A25A">
      <w:numFmt w:val="bullet"/>
      <w:lvlText w:val="-"/>
      <w:lvlJc w:val="left"/>
      <w:pPr>
        <w:ind w:left="1440" w:hanging="360"/>
      </w:pPr>
      <w:rPr>
        <w:rFonts w:ascii="Gill Sans MT" w:eastAsiaTheme="minorHAnsi" w:hAnsi="Gill Sans MT" w:cstheme="minorBidi"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0" w15:restartNumberingAfterBreak="0">
    <w:nsid w:val="796F7BE3"/>
    <w:multiLevelType w:val="hybridMultilevel"/>
    <w:tmpl w:val="C4FEEDC2"/>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1" w15:restartNumberingAfterBreak="0">
    <w:nsid w:val="7F5B1413"/>
    <w:multiLevelType w:val="hybridMultilevel"/>
    <w:tmpl w:val="8AC87CB6"/>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20"/>
  </w:num>
  <w:num w:numId="5">
    <w:abstractNumId w:val="7"/>
  </w:num>
  <w:num w:numId="6">
    <w:abstractNumId w:val="10"/>
  </w:num>
  <w:num w:numId="7">
    <w:abstractNumId w:val="8"/>
  </w:num>
  <w:num w:numId="8">
    <w:abstractNumId w:val="3"/>
  </w:num>
  <w:num w:numId="9">
    <w:abstractNumId w:val="15"/>
  </w:num>
  <w:num w:numId="10">
    <w:abstractNumId w:val="2"/>
  </w:num>
  <w:num w:numId="11">
    <w:abstractNumId w:val="9"/>
  </w:num>
  <w:num w:numId="12">
    <w:abstractNumId w:val="16"/>
  </w:num>
  <w:num w:numId="13">
    <w:abstractNumId w:val="1"/>
  </w:num>
  <w:num w:numId="14">
    <w:abstractNumId w:val="11"/>
  </w:num>
  <w:num w:numId="15">
    <w:abstractNumId w:val="5"/>
  </w:num>
  <w:num w:numId="16">
    <w:abstractNumId w:val="6"/>
  </w:num>
  <w:num w:numId="17">
    <w:abstractNumId w:val="12"/>
  </w:num>
  <w:num w:numId="18">
    <w:abstractNumId w:val="13"/>
  </w:num>
  <w:num w:numId="19">
    <w:abstractNumId w:val="4"/>
  </w:num>
  <w:num w:numId="20">
    <w:abstractNumId w:val="9"/>
  </w:num>
  <w:num w:numId="21">
    <w:abstractNumId w:val="16"/>
  </w:num>
  <w:num w:numId="22">
    <w:abstractNumId w:val="5"/>
  </w:num>
  <w:num w:numId="23">
    <w:abstractNumId w:val="1"/>
  </w:num>
  <w:num w:numId="24">
    <w:abstractNumId w:val="11"/>
  </w:num>
  <w:num w:numId="25">
    <w:abstractNumId w:val="4"/>
  </w:num>
  <w:num w:numId="26">
    <w:abstractNumId w:val="13"/>
  </w:num>
  <w:num w:numId="27">
    <w:abstractNumId w:val="6"/>
  </w:num>
  <w:num w:numId="28">
    <w:abstractNumId w:val="12"/>
  </w:num>
  <w:num w:numId="29">
    <w:abstractNumId w:val="17"/>
  </w:num>
  <w:num w:numId="30">
    <w:abstractNumId w:val="1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B"/>
    <w:rsid w:val="00015C7C"/>
    <w:rsid w:val="00021DCF"/>
    <w:rsid w:val="00041BB1"/>
    <w:rsid w:val="000456A5"/>
    <w:rsid w:val="0007624C"/>
    <w:rsid w:val="000A1B6F"/>
    <w:rsid w:val="000A4505"/>
    <w:rsid w:val="000E26ED"/>
    <w:rsid w:val="00106D36"/>
    <w:rsid w:val="0011445F"/>
    <w:rsid w:val="00114CFA"/>
    <w:rsid w:val="00115930"/>
    <w:rsid w:val="00124FBE"/>
    <w:rsid w:val="00125E79"/>
    <w:rsid w:val="001366EF"/>
    <w:rsid w:val="00140C69"/>
    <w:rsid w:val="001520D9"/>
    <w:rsid w:val="00182EA8"/>
    <w:rsid w:val="00192EE6"/>
    <w:rsid w:val="001B6A3B"/>
    <w:rsid w:val="001C2394"/>
    <w:rsid w:val="001D2DB6"/>
    <w:rsid w:val="001F46F6"/>
    <w:rsid w:val="00205C37"/>
    <w:rsid w:val="002479B4"/>
    <w:rsid w:val="00257667"/>
    <w:rsid w:val="00261C11"/>
    <w:rsid w:val="00280D51"/>
    <w:rsid w:val="002A3857"/>
    <w:rsid w:val="002A711B"/>
    <w:rsid w:val="002D39B9"/>
    <w:rsid w:val="002E5B3C"/>
    <w:rsid w:val="002F7753"/>
    <w:rsid w:val="003103AF"/>
    <w:rsid w:val="00317C83"/>
    <w:rsid w:val="00336C07"/>
    <w:rsid w:val="00353D9A"/>
    <w:rsid w:val="0037302F"/>
    <w:rsid w:val="00384267"/>
    <w:rsid w:val="00386F57"/>
    <w:rsid w:val="003913A8"/>
    <w:rsid w:val="003A52C4"/>
    <w:rsid w:val="003B6A96"/>
    <w:rsid w:val="003C04FA"/>
    <w:rsid w:val="003D17A1"/>
    <w:rsid w:val="003E2945"/>
    <w:rsid w:val="003E5BFA"/>
    <w:rsid w:val="00417ECE"/>
    <w:rsid w:val="00425634"/>
    <w:rsid w:val="00432822"/>
    <w:rsid w:val="004353C0"/>
    <w:rsid w:val="00436F71"/>
    <w:rsid w:val="00437D45"/>
    <w:rsid w:val="00452099"/>
    <w:rsid w:val="00453EA1"/>
    <w:rsid w:val="004C14A6"/>
    <w:rsid w:val="004C2A6A"/>
    <w:rsid w:val="004E492A"/>
    <w:rsid w:val="004E5541"/>
    <w:rsid w:val="004F1485"/>
    <w:rsid w:val="004F2E48"/>
    <w:rsid w:val="00504F9C"/>
    <w:rsid w:val="005324E6"/>
    <w:rsid w:val="00550EAC"/>
    <w:rsid w:val="005646E9"/>
    <w:rsid w:val="00573240"/>
    <w:rsid w:val="0058121D"/>
    <w:rsid w:val="005A58F9"/>
    <w:rsid w:val="005A5AAC"/>
    <w:rsid w:val="005A6BB7"/>
    <w:rsid w:val="005C5010"/>
    <w:rsid w:val="005D2E21"/>
    <w:rsid w:val="005E0D3D"/>
    <w:rsid w:val="005F781F"/>
    <w:rsid w:val="00636112"/>
    <w:rsid w:val="00640643"/>
    <w:rsid w:val="006429ED"/>
    <w:rsid w:val="00646E79"/>
    <w:rsid w:val="0064704F"/>
    <w:rsid w:val="00684087"/>
    <w:rsid w:val="006B1A48"/>
    <w:rsid w:val="006B3AB8"/>
    <w:rsid w:val="006E29A4"/>
    <w:rsid w:val="006E6D4B"/>
    <w:rsid w:val="006F28AB"/>
    <w:rsid w:val="00705864"/>
    <w:rsid w:val="00707D5C"/>
    <w:rsid w:val="0071012C"/>
    <w:rsid w:val="007111A6"/>
    <w:rsid w:val="0071364E"/>
    <w:rsid w:val="007476B9"/>
    <w:rsid w:val="00767765"/>
    <w:rsid w:val="00777098"/>
    <w:rsid w:val="00790432"/>
    <w:rsid w:val="007954DC"/>
    <w:rsid w:val="007A2551"/>
    <w:rsid w:val="007B726F"/>
    <w:rsid w:val="007F1D57"/>
    <w:rsid w:val="00822C78"/>
    <w:rsid w:val="00831D55"/>
    <w:rsid w:val="008379FE"/>
    <w:rsid w:val="0086439C"/>
    <w:rsid w:val="00874E34"/>
    <w:rsid w:val="008917EC"/>
    <w:rsid w:val="008B017B"/>
    <w:rsid w:val="008C1282"/>
    <w:rsid w:val="008E7F4F"/>
    <w:rsid w:val="008F44BE"/>
    <w:rsid w:val="00930F0F"/>
    <w:rsid w:val="0093605D"/>
    <w:rsid w:val="00945735"/>
    <w:rsid w:val="00981E04"/>
    <w:rsid w:val="0098216D"/>
    <w:rsid w:val="0099438F"/>
    <w:rsid w:val="009A54FE"/>
    <w:rsid w:val="009D00AE"/>
    <w:rsid w:val="00A040A3"/>
    <w:rsid w:val="00A1518B"/>
    <w:rsid w:val="00A25DF2"/>
    <w:rsid w:val="00A36EF2"/>
    <w:rsid w:val="00A534F2"/>
    <w:rsid w:val="00AC3903"/>
    <w:rsid w:val="00AD3E4B"/>
    <w:rsid w:val="00AE1400"/>
    <w:rsid w:val="00AF2700"/>
    <w:rsid w:val="00B02025"/>
    <w:rsid w:val="00B05196"/>
    <w:rsid w:val="00B12626"/>
    <w:rsid w:val="00B6335F"/>
    <w:rsid w:val="00B70B9E"/>
    <w:rsid w:val="00B74594"/>
    <w:rsid w:val="00BA704B"/>
    <w:rsid w:val="00BA7AC1"/>
    <w:rsid w:val="00BC3B66"/>
    <w:rsid w:val="00BD06B6"/>
    <w:rsid w:val="00BF755A"/>
    <w:rsid w:val="00C02E87"/>
    <w:rsid w:val="00C13DB8"/>
    <w:rsid w:val="00C267BE"/>
    <w:rsid w:val="00C30970"/>
    <w:rsid w:val="00C40EAD"/>
    <w:rsid w:val="00C62A83"/>
    <w:rsid w:val="00C70622"/>
    <w:rsid w:val="00C72C53"/>
    <w:rsid w:val="00C84A6A"/>
    <w:rsid w:val="00CA0C84"/>
    <w:rsid w:val="00CA32EA"/>
    <w:rsid w:val="00CD3C04"/>
    <w:rsid w:val="00CE02FD"/>
    <w:rsid w:val="00D032D7"/>
    <w:rsid w:val="00D366B9"/>
    <w:rsid w:val="00D44536"/>
    <w:rsid w:val="00D53682"/>
    <w:rsid w:val="00D75384"/>
    <w:rsid w:val="00D804FF"/>
    <w:rsid w:val="00D86721"/>
    <w:rsid w:val="00D91178"/>
    <w:rsid w:val="00DA13B9"/>
    <w:rsid w:val="00DB7390"/>
    <w:rsid w:val="00DC1906"/>
    <w:rsid w:val="00DD3BE7"/>
    <w:rsid w:val="00DD3F99"/>
    <w:rsid w:val="00DE36EC"/>
    <w:rsid w:val="00DF162F"/>
    <w:rsid w:val="00E055F3"/>
    <w:rsid w:val="00E05711"/>
    <w:rsid w:val="00E36050"/>
    <w:rsid w:val="00E4054A"/>
    <w:rsid w:val="00E45544"/>
    <w:rsid w:val="00E96493"/>
    <w:rsid w:val="00EA7C9F"/>
    <w:rsid w:val="00EB204D"/>
    <w:rsid w:val="00EE18B6"/>
    <w:rsid w:val="00F052DE"/>
    <w:rsid w:val="00F339A3"/>
    <w:rsid w:val="00F62EA7"/>
    <w:rsid w:val="00F63C00"/>
    <w:rsid w:val="00F7318C"/>
    <w:rsid w:val="00FC0D63"/>
    <w:rsid w:val="00FC6BEC"/>
    <w:rsid w:val="00FD619E"/>
    <w:rsid w:val="00FD797A"/>
    <w:rsid w:val="00FE35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774E"/>
  <w15:docId w15:val="{6B4DDA1D-640A-41CD-8085-EE7BF39D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AB"/>
    <w:pPr>
      <w:spacing w:after="120" w:line="276" w:lineRule="auto"/>
    </w:pPr>
    <w:rPr>
      <w:rFonts w:ascii="Gill Sans MT" w:hAnsi="Gill Sans MT"/>
      <w:lang w:val="de-DE"/>
    </w:rPr>
  </w:style>
  <w:style w:type="paragraph" w:styleId="Heading1">
    <w:name w:val="heading 1"/>
    <w:basedOn w:val="Normal"/>
    <w:next w:val="Normal"/>
    <w:link w:val="Heading1Char"/>
    <w:uiPriority w:val="9"/>
    <w:qFormat/>
    <w:rsid w:val="000A4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F28AB"/>
    <w:pPr>
      <w:keepNext/>
      <w:keepLines/>
      <w:spacing w:before="360" w:after="240"/>
      <w:outlineLvl w:val="1"/>
    </w:pPr>
    <w:rPr>
      <w:rFonts w:eastAsiaTheme="majorEastAsia" w:cstheme="majorBidi"/>
      <w:b/>
      <w:bCs/>
      <w:sz w:val="26"/>
      <w:szCs w:val="26"/>
      <w:lang w:val="en-GB"/>
    </w:rPr>
  </w:style>
  <w:style w:type="paragraph" w:styleId="Heading3">
    <w:name w:val="heading 3"/>
    <w:basedOn w:val="Normal"/>
    <w:next w:val="Normal"/>
    <w:link w:val="Heading3Char"/>
    <w:uiPriority w:val="9"/>
    <w:unhideWhenUsed/>
    <w:qFormat/>
    <w:rsid w:val="006F28AB"/>
    <w:pPr>
      <w:keepNext/>
      <w:keepLines/>
      <w:spacing w:before="200" w:after="0"/>
      <w:jc w:val="center"/>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8AB"/>
    <w:rPr>
      <w:rFonts w:ascii="Gill Sans MT" w:eastAsiaTheme="majorEastAsia" w:hAnsi="Gill Sans MT" w:cstheme="majorBidi"/>
      <w:b/>
      <w:bCs/>
      <w:sz w:val="26"/>
      <w:szCs w:val="26"/>
      <w:lang w:val="en-GB"/>
    </w:rPr>
  </w:style>
  <w:style w:type="character" w:customStyle="1" w:styleId="Heading3Char">
    <w:name w:val="Heading 3 Char"/>
    <w:basedOn w:val="DefaultParagraphFont"/>
    <w:link w:val="Heading3"/>
    <w:uiPriority w:val="9"/>
    <w:rsid w:val="006F28AB"/>
    <w:rPr>
      <w:rFonts w:ascii="Gill Sans MT" w:eastAsiaTheme="majorEastAsia" w:hAnsi="Gill Sans MT" w:cstheme="majorBidi"/>
      <w:b/>
      <w:bCs/>
      <w:sz w:val="24"/>
      <w:lang w:val="de-DE"/>
    </w:rPr>
  </w:style>
  <w:style w:type="character" w:styleId="Hyperlink">
    <w:name w:val="Hyperlink"/>
    <w:basedOn w:val="DefaultParagraphFont"/>
    <w:uiPriority w:val="99"/>
    <w:unhideWhenUsed/>
    <w:rsid w:val="006F28AB"/>
    <w:rPr>
      <w:color w:val="0563C1" w:themeColor="hyperlink"/>
      <w:u w:val="single"/>
    </w:rPr>
  </w:style>
  <w:style w:type="paragraph" w:styleId="ListParagraph">
    <w:name w:val="List Paragraph"/>
    <w:basedOn w:val="Normal"/>
    <w:uiPriority w:val="34"/>
    <w:qFormat/>
    <w:rsid w:val="006F28AB"/>
    <w:pPr>
      <w:ind w:left="720"/>
      <w:contextualSpacing/>
    </w:pPr>
  </w:style>
  <w:style w:type="character" w:customStyle="1" w:styleId="Heading1Char">
    <w:name w:val="Heading 1 Char"/>
    <w:basedOn w:val="DefaultParagraphFont"/>
    <w:link w:val="Heading1"/>
    <w:uiPriority w:val="9"/>
    <w:rsid w:val="000A4505"/>
    <w:rPr>
      <w:rFonts w:asciiTheme="majorHAnsi" w:eastAsiaTheme="majorEastAsia" w:hAnsiTheme="majorHAnsi" w:cstheme="majorBidi"/>
      <w:color w:val="2E74B5" w:themeColor="accent1" w:themeShade="BF"/>
      <w:sz w:val="32"/>
      <w:szCs w:val="32"/>
      <w:lang w:val="de-DE"/>
    </w:rPr>
  </w:style>
  <w:style w:type="paragraph" w:styleId="Header">
    <w:name w:val="header"/>
    <w:basedOn w:val="Normal"/>
    <w:link w:val="HeaderChar"/>
    <w:uiPriority w:val="99"/>
    <w:unhideWhenUsed/>
    <w:rsid w:val="001B6A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6A3B"/>
    <w:rPr>
      <w:rFonts w:ascii="Gill Sans MT" w:hAnsi="Gill Sans MT"/>
      <w:lang w:val="de-DE"/>
    </w:rPr>
  </w:style>
  <w:style w:type="paragraph" w:styleId="Footer">
    <w:name w:val="footer"/>
    <w:basedOn w:val="Normal"/>
    <w:link w:val="FooterChar"/>
    <w:uiPriority w:val="99"/>
    <w:unhideWhenUsed/>
    <w:rsid w:val="001B6A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6A3B"/>
    <w:rPr>
      <w:rFonts w:ascii="Gill Sans MT" w:hAnsi="Gill Sans MT"/>
      <w:lang w:val="de-DE"/>
    </w:rPr>
  </w:style>
  <w:style w:type="paragraph" w:styleId="BalloonText">
    <w:name w:val="Balloon Text"/>
    <w:basedOn w:val="Normal"/>
    <w:link w:val="BalloonTextChar"/>
    <w:uiPriority w:val="99"/>
    <w:semiHidden/>
    <w:unhideWhenUsed/>
    <w:rsid w:val="001B6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3B"/>
    <w:rPr>
      <w:rFonts w:ascii="Segoe UI" w:hAnsi="Segoe UI" w:cs="Segoe UI"/>
      <w:sz w:val="18"/>
      <w:szCs w:val="18"/>
      <w:lang w:val="de-DE"/>
    </w:rPr>
  </w:style>
  <w:style w:type="table" w:styleId="TableGrid">
    <w:name w:val="Table Grid"/>
    <w:basedOn w:val="TableNormal"/>
    <w:uiPriority w:val="39"/>
    <w:rsid w:val="004C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opic">
    <w:name w:val="Heading 2 topic"/>
    <w:basedOn w:val="Heading2"/>
    <w:link w:val="Heading2topicChar"/>
    <w:qFormat/>
    <w:rsid w:val="00790432"/>
  </w:style>
  <w:style w:type="character" w:customStyle="1" w:styleId="Heading2topicChar">
    <w:name w:val="Heading 2 topic Char"/>
    <w:basedOn w:val="Heading2Char"/>
    <w:link w:val="Heading2topic"/>
    <w:rsid w:val="00790432"/>
    <w:rPr>
      <w:rFonts w:ascii="Gill Sans MT" w:eastAsiaTheme="majorEastAsia" w:hAnsi="Gill Sans MT" w:cstheme="majorBidi"/>
      <w:b/>
      <w:bCs/>
      <w:sz w:val="26"/>
      <w:szCs w:val="26"/>
      <w:lang w:val="en-GB"/>
    </w:rPr>
  </w:style>
  <w:style w:type="paragraph" w:customStyle="1" w:styleId="Default">
    <w:name w:val="Default"/>
    <w:rsid w:val="00790432"/>
    <w:pPr>
      <w:autoSpaceDE w:val="0"/>
      <w:autoSpaceDN w:val="0"/>
      <w:adjustRightInd w:val="0"/>
      <w:spacing w:after="0" w:line="240" w:lineRule="auto"/>
    </w:pPr>
    <w:rPr>
      <w:rFonts w:ascii="Gill Sans MT" w:hAnsi="Gill Sans MT" w:cs="Gill Sans MT"/>
      <w:color w:val="000000"/>
      <w:sz w:val="24"/>
      <w:szCs w:val="24"/>
      <w:lang w:val="en-GB"/>
    </w:rPr>
  </w:style>
  <w:style w:type="character" w:styleId="FollowedHyperlink">
    <w:name w:val="FollowedHyperlink"/>
    <w:basedOn w:val="DefaultParagraphFont"/>
    <w:uiPriority w:val="99"/>
    <w:semiHidden/>
    <w:unhideWhenUsed/>
    <w:rsid w:val="005A5AAC"/>
    <w:rPr>
      <w:color w:val="954F72" w:themeColor="followedHyperlink"/>
      <w:u w:val="single"/>
    </w:rPr>
  </w:style>
  <w:style w:type="table" w:customStyle="1" w:styleId="Tableausimple11">
    <w:name w:val="Tableau simple 11"/>
    <w:basedOn w:val="TableNormal"/>
    <w:uiPriority w:val="41"/>
    <w:rsid w:val="00BC3B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21">
    <w:name w:val="Tableau Grille 21"/>
    <w:basedOn w:val="TableNormal"/>
    <w:uiPriority w:val="47"/>
    <w:rsid w:val="00BC3B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
    <w:name w:val="Light Shading"/>
    <w:basedOn w:val="TableNormal"/>
    <w:uiPriority w:val="60"/>
    <w:rsid w:val="00E055F3"/>
    <w:pPr>
      <w:spacing w:after="0" w:line="240" w:lineRule="auto"/>
    </w:pPr>
    <w:rPr>
      <w:rFonts w:eastAsiaTheme="minorEastAsia"/>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7725">
      <w:bodyDiv w:val="1"/>
      <w:marLeft w:val="0"/>
      <w:marRight w:val="0"/>
      <w:marTop w:val="0"/>
      <w:marBottom w:val="0"/>
      <w:divBdr>
        <w:top w:val="none" w:sz="0" w:space="0" w:color="auto"/>
        <w:left w:val="none" w:sz="0" w:space="0" w:color="auto"/>
        <w:bottom w:val="none" w:sz="0" w:space="0" w:color="auto"/>
        <w:right w:val="none" w:sz="0" w:space="0" w:color="auto"/>
      </w:divBdr>
    </w:div>
    <w:div w:id="186674837">
      <w:bodyDiv w:val="1"/>
      <w:marLeft w:val="0"/>
      <w:marRight w:val="0"/>
      <w:marTop w:val="0"/>
      <w:marBottom w:val="0"/>
      <w:divBdr>
        <w:top w:val="none" w:sz="0" w:space="0" w:color="auto"/>
        <w:left w:val="none" w:sz="0" w:space="0" w:color="auto"/>
        <w:bottom w:val="none" w:sz="0" w:space="0" w:color="auto"/>
        <w:right w:val="none" w:sz="0" w:space="0" w:color="auto"/>
      </w:divBdr>
    </w:div>
    <w:div w:id="354232584">
      <w:bodyDiv w:val="1"/>
      <w:marLeft w:val="0"/>
      <w:marRight w:val="0"/>
      <w:marTop w:val="0"/>
      <w:marBottom w:val="0"/>
      <w:divBdr>
        <w:top w:val="none" w:sz="0" w:space="0" w:color="auto"/>
        <w:left w:val="none" w:sz="0" w:space="0" w:color="auto"/>
        <w:bottom w:val="none" w:sz="0" w:space="0" w:color="auto"/>
        <w:right w:val="none" w:sz="0" w:space="0" w:color="auto"/>
      </w:divBdr>
    </w:div>
    <w:div w:id="510919747">
      <w:bodyDiv w:val="1"/>
      <w:marLeft w:val="0"/>
      <w:marRight w:val="0"/>
      <w:marTop w:val="0"/>
      <w:marBottom w:val="0"/>
      <w:divBdr>
        <w:top w:val="none" w:sz="0" w:space="0" w:color="auto"/>
        <w:left w:val="none" w:sz="0" w:space="0" w:color="auto"/>
        <w:bottom w:val="none" w:sz="0" w:space="0" w:color="auto"/>
        <w:right w:val="none" w:sz="0" w:space="0" w:color="auto"/>
      </w:divBdr>
    </w:div>
    <w:div w:id="843058784">
      <w:bodyDiv w:val="1"/>
      <w:marLeft w:val="0"/>
      <w:marRight w:val="0"/>
      <w:marTop w:val="0"/>
      <w:marBottom w:val="0"/>
      <w:divBdr>
        <w:top w:val="none" w:sz="0" w:space="0" w:color="auto"/>
        <w:left w:val="none" w:sz="0" w:space="0" w:color="auto"/>
        <w:bottom w:val="none" w:sz="0" w:space="0" w:color="auto"/>
        <w:right w:val="none" w:sz="0" w:space="0" w:color="auto"/>
      </w:divBdr>
    </w:div>
    <w:div w:id="965618169">
      <w:bodyDiv w:val="1"/>
      <w:marLeft w:val="0"/>
      <w:marRight w:val="0"/>
      <w:marTop w:val="0"/>
      <w:marBottom w:val="0"/>
      <w:divBdr>
        <w:top w:val="none" w:sz="0" w:space="0" w:color="auto"/>
        <w:left w:val="none" w:sz="0" w:space="0" w:color="auto"/>
        <w:bottom w:val="none" w:sz="0" w:space="0" w:color="auto"/>
        <w:right w:val="none" w:sz="0" w:space="0" w:color="auto"/>
      </w:divBdr>
    </w:div>
    <w:div w:id="1031413463">
      <w:bodyDiv w:val="1"/>
      <w:marLeft w:val="0"/>
      <w:marRight w:val="0"/>
      <w:marTop w:val="0"/>
      <w:marBottom w:val="0"/>
      <w:divBdr>
        <w:top w:val="none" w:sz="0" w:space="0" w:color="auto"/>
        <w:left w:val="none" w:sz="0" w:space="0" w:color="auto"/>
        <w:bottom w:val="none" w:sz="0" w:space="0" w:color="auto"/>
        <w:right w:val="none" w:sz="0" w:space="0" w:color="auto"/>
      </w:divBdr>
    </w:div>
    <w:div w:id="1412191745">
      <w:bodyDiv w:val="1"/>
      <w:marLeft w:val="0"/>
      <w:marRight w:val="0"/>
      <w:marTop w:val="0"/>
      <w:marBottom w:val="0"/>
      <w:divBdr>
        <w:top w:val="none" w:sz="0" w:space="0" w:color="auto"/>
        <w:left w:val="none" w:sz="0" w:space="0" w:color="auto"/>
        <w:bottom w:val="none" w:sz="0" w:space="0" w:color="auto"/>
        <w:right w:val="none" w:sz="0" w:space="0" w:color="auto"/>
      </w:divBdr>
    </w:div>
    <w:div w:id="1983650833">
      <w:bodyDiv w:val="1"/>
      <w:marLeft w:val="0"/>
      <w:marRight w:val="0"/>
      <w:marTop w:val="0"/>
      <w:marBottom w:val="0"/>
      <w:divBdr>
        <w:top w:val="none" w:sz="0" w:space="0" w:color="auto"/>
        <w:left w:val="none" w:sz="0" w:space="0" w:color="auto"/>
        <w:bottom w:val="none" w:sz="0" w:space="0" w:color="auto"/>
        <w:right w:val="none" w:sz="0" w:space="0" w:color="auto"/>
      </w:divBdr>
    </w:div>
    <w:div w:id="2119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stera.eu/consorti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ference2017.chister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NFUnofficialMeeting xmlns="89723a0b-1e51-4425-925a-1d3c653edc1f" xsi:nil="true"/>
    <MP_UserTags xmlns="970d3aec-fa56-4b6e-8041-b195fff2b0eb" xsi:nil="true"/>
    <IconOverlay xmlns="http://schemas.microsoft.com/sharepoint/v4" xsi:nil="true"/>
    <n5641ce1469f4087a47bc847f847c822 xmlns="89723a0b-1e51-4425-925a-1d3c653edc1f">
      <Terms xmlns="http://schemas.microsoft.com/office/infopath/2007/PartnerControls">
        <TermInfo xmlns="http://schemas.microsoft.com/office/infopath/2007/PartnerControls">
          <TermName>EN</TermName>
          <TermId>bb7b4790-ce7c-46fa-b03f-2b2fe92d416d</TermId>
        </TermInfo>
      </Terms>
    </n5641ce1469f4087a47bc847f847c822>
    <bcc3e3ea51114e69a24e45c632f36517 xmlns="89723a0b-1e51-4425-925a-1d3c653edc1f">
      <Terms xmlns="http://schemas.microsoft.com/office/infopath/2007/PartnerControls"/>
    </bcc3e3ea51114e69a24e45c632f36517>
    <MP_InheritedTags xmlns="970d3aec-fa56-4b6e-8041-b195fff2b0eb">((sn10)(sn1))((sn132)(sn7))((sn70)(sn6))((sn1909)(sn64)(sn5))((sn29)(sn2))</MP_InheritedTags>
    <TaxKeywordTaxHTField xmlns="970d3aec-fa56-4b6e-8041-b195fff2b0eb">
      <Terms xmlns="http://schemas.microsoft.com/office/infopath/2007/PartnerControls"/>
    </TaxKeywordTaxHTField>
    <a4484600007346049b86979b85a40979 xmlns="89723a0b-1e51-4425-925a-1d3c653edc1f">
      <Terms xmlns="http://schemas.microsoft.com/office/infopath/2007/PartnerControls">
        <TermInfo xmlns="http://schemas.microsoft.com/office/infopath/2007/PartnerControls">
          <TermName>Call Documents</TermName>
          <TermId>97107c95-0471-48f5-a346-2c8cd2e38c8c</TermId>
        </TermInfo>
      </Terms>
    </a4484600007346049b86979b85a40979>
    <TaxCatchAll xmlns="970d3aec-fa56-4b6e-8041-b195fff2b0eb">
      <Value>4030</Value>
      <Value>3</Value>
      <Value>2</Value>
      <Value>4138</Value>
      <Value>45</Value>
    </TaxCatchAll>
    <lb36e8d91331443c8d96a585ce1964db xmlns="89723a0b-1e51-4425-925a-1d3c653edc1f">
      <Terms xmlns="http://schemas.microsoft.com/office/infopath/2007/PartnerControls">
        <TermInfo xmlns="http://schemas.microsoft.com/office/infopath/2007/PartnerControls">
          <TermName>Documentation</TermName>
          <TermId>9e4af9e7-6d50-4319-8926-07c9c4c244a9</TermId>
        </TermInfo>
      </Terms>
    </lb36e8d91331443c8d96a585ce1964db>
    <j2e2211386a2483994d0a5ae96787d4d xmlns="89723a0b-1e51-4425-925a-1d3c653edc1f">
      <Terms xmlns="http://schemas.microsoft.com/office/infopath/2007/PartnerControls">
        <TermInfo xmlns="http://schemas.microsoft.com/office/infopath/2007/PartnerControls">
          <TermName xmlns="http://schemas.microsoft.com/office/infopath/2007/PartnerControls">Interne</TermName>
          <TermId xmlns="http://schemas.microsoft.com/office/infopath/2007/PartnerControls">2098cfe7-2597-4f0f-a7af-aa727bff47ef</TermId>
        </TermInfo>
      </Terms>
    </j2e2211386a2483994d0a5ae96787d4d>
    <SNFShortDescription xmlns="89723a0b-1e51-4425-925a-1d3c653edc1f" xsi:nil="true"/>
    <e0e2ddb0e7144387a587fb8097036373 xmlns="89723a0b-1e51-4425-925a-1d3c653edc1f">
      <Terms xmlns="http://schemas.microsoft.com/office/infopath/2007/PartnerControls">
        <TermInfo xmlns="http://schemas.microsoft.com/office/infopath/2007/PartnerControls">
          <TermName xmlns="http://schemas.microsoft.com/office/infopath/2007/PartnerControls">Call 2017</TermName>
          <TermId xmlns="http://schemas.microsoft.com/office/infopath/2007/PartnerControls">d7254e2c-d2ca-4a44-a03c-780450854b65</TermId>
        </TermInfo>
      </Terms>
    </e0e2ddb0e7144387a587fb8097036373>
    <_dlc_DocId xmlns="970d3aec-fa56-4b6e-8041-b195fff2b0eb">FOERDERUNG-1257-140</_dlc_DocId>
    <_dlc_DocIdUrl xmlns="970d3aec-fa56-4b6e-8041-b195fff2b0eb">
      <Url>https://servo.snf.ch/fi/progr/chist-era/_layouts/15/DocIdRedir.aspx?ID=FOERDERUNG-1257-140</Url>
      <Description>FOERDERUNG-1257-140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axonomie générale" ma:contentTypeID="0x0101003B8213B60D2E41E597C4821E72A643A608006E529AD4817C8443897B3E4E1038EE0D" ma:contentTypeVersion="9" ma:contentTypeDescription="Créer un nouveau document de type Taxonomie générale" ma:contentTypeScope="" ma:versionID="11da7024089739aac08be5d8f82be33b">
  <xsd:schema xmlns:xsd="http://www.w3.org/2001/XMLSchema" xmlns:xs="http://www.w3.org/2001/XMLSchema" xmlns:p="http://schemas.microsoft.com/office/2006/metadata/properties" xmlns:ns2="89723a0b-1e51-4425-925a-1d3c653edc1f" xmlns:ns3="970d3aec-fa56-4b6e-8041-b195fff2b0eb" xmlns:ns4="http://schemas.microsoft.com/sharepoint/v4" targetNamespace="http://schemas.microsoft.com/office/2006/metadata/properties" ma:root="true" ma:fieldsID="e0955bd1843216accaa616831c5b0599" ns2:_="" ns3:_="" ns4:_="">
    <xsd:import namespace="89723a0b-1e51-4425-925a-1d3c653edc1f"/>
    <xsd:import namespace="970d3aec-fa56-4b6e-8041-b195fff2b0eb"/>
    <xsd:import namespace="http://schemas.microsoft.com/sharepoint/v4"/>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3a0b-1e51-4425-925a-1d3c653edc1f"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Brève description du document" ma:indexed="true" ma:internalName="SNFShortDescription">
      <xsd:simpleType>
        <xsd:restriction base="dms:Text">
          <xsd:maxLength value="255"/>
        </xsd:restriction>
      </xsd:simpleType>
    </xsd:element>
    <xsd:element name="SNFUnofficialMeeting" ma:index="19" nillable="true" ma:displayName="Unofficial Meeting" ma:description="Champ pour la description d'un meeting inofficiel"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6de8f493-8c2b-4667-983f-11327d6f6eed"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a78da97a-f23f-46c5-985e-04b9730af7a4"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d3aec-fa56-4b6e-8041-b195fff2b0eb"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Valeur d’ID de document" ma:description="Valeur de l’ID de document affecté à cet élément." ma:internalName="_dlc_DocId" ma:readOnly="true">
      <xsd:simpleType>
        <xsd:restriction base="dms:Text"/>
      </xsd:simpleType>
    </xsd:element>
    <xsd:element name="_dlc_DocIdUrl" ma:index="2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7693474-1a69-4f14-b599-bb6748abd269}" ma:internalName="TaxCatchAll" ma:showField="CatchAllData" ma:web="970d3aec-fa56-4b6e-8041-b195fff2b0eb">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92BE5-DF49-46BC-801D-45AB3C34CAC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723a0b-1e51-4425-925a-1d3c653edc1f"/>
    <ds:schemaRef ds:uri="http://purl.org/dc/elements/1.1/"/>
    <ds:schemaRef ds:uri="http://schemas.microsoft.com/office/2006/metadata/properties"/>
    <ds:schemaRef ds:uri="970d3aec-fa56-4b6e-8041-b195fff2b0eb"/>
    <ds:schemaRef ds:uri="http://www.w3.org/XML/1998/namespace"/>
    <ds:schemaRef ds:uri="http://purl.org/dc/dcmitype/"/>
  </ds:schemaRefs>
</ds:datastoreItem>
</file>

<file path=customXml/itemProps2.xml><?xml version="1.0" encoding="utf-8"?>
<ds:datastoreItem xmlns:ds="http://schemas.openxmlformats.org/officeDocument/2006/customXml" ds:itemID="{8A91E536-9BB6-4482-AFD7-5AFF0829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23a0b-1e51-4425-925a-1d3c653edc1f"/>
    <ds:schemaRef ds:uri="970d3aec-fa56-4b6e-8041-b195fff2b0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296EE-009A-4712-B05A-19B9B3416042}">
  <ds:schemaRefs>
    <ds:schemaRef ds:uri="http://schemas.microsoft.com/sharepoint/events"/>
  </ds:schemaRefs>
</ds:datastoreItem>
</file>

<file path=customXml/itemProps4.xml><?xml version="1.0" encoding="utf-8"?>
<ds:datastoreItem xmlns:ds="http://schemas.openxmlformats.org/officeDocument/2006/customXml" ds:itemID="{FBFF681A-B027-406B-84E1-DEAD2830F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CHIST-ERA Call 2017 - Pre-announcement</vt:lpstr>
      <vt:lpstr/>
    </vt:vector>
  </TitlesOfParts>
  <Company>SNSF</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CHIST-ERA Call 2017 - Pre-announcement</dc:title>
  <dc:creator>georges.klein@snf.ch</dc:creator>
  <cp:lastModifiedBy>Klein Georges</cp:lastModifiedBy>
  <cp:revision>3</cp:revision>
  <cp:lastPrinted>2017-09-28T15:05:00Z</cp:lastPrinted>
  <dcterms:created xsi:type="dcterms:W3CDTF">2017-09-28T15:05:00Z</dcterms:created>
  <dcterms:modified xsi:type="dcterms:W3CDTF">2017-09-28T15:05:00Z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0x0101003B8213B60D2E41E597C4821E72A643A608006E529AD4817C8443897B3E4E1038EE0D</vt:lpwstr>
  </property>
  <property fmtid="{D5CDD505-2E9C-101B-9397-08002B2CF9AE}" pid="3" name="SNFDocType">
    <vt:lpwstr>3;#Documentation|9e4af9e7-6d50-4319-8926-07c9c4c244a9</vt:lpwstr>
  </property>
  <property fmtid="{D5CDD505-2E9C-101B-9397-08002B2CF9AE}" pid="4" name="TaxKeyword">
    <vt:lpwstr/>
  </property>
  <property fmtid="{D5CDD505-2E9C-101B-9397-08002B2CF9AE}" pid="5" name="SNFFreeTerms">
    <vt:lpwstr/>
  </property>
  <property fmtid="{D5CDD505-2E9C-101B-9397-08002B2CF9AE}" pid="6" name="SNFDocLanguage">
    <vt:lpwstr>45;#EN|bb7b4790-ce7c-46fa-b03f-2b2fe92d416d</vt:lpwstr>
  </property>
  <property fmtid="{D5CDD505-2E9C-101B-9397-08002B2CF9AE}" pid="7" name="SNFDocClassification">
    <vt:lpwstr>2;#Interne|2098cfe7-2597-4f0f-a7af-aa727bff47ef</vt:lpwstr>
  </property>
  <property fmtid="{D5CDD505-2E9C-101B-9397-08002B2CF9AE}" pid="8" name="SNFSiteWords2">
    <vt:lpwstr>4030;#Call Documents|97107c95-0471-48f5-a346-2c8cd2e38c8c</vt:lpwstr>
  </property>
  <property fmtid="{D5CDD505-2E9C-101B-9397-08002B2CF9AE}" pid="9" name="SNFSiteWords1">
    <vt:lpwstr>4138;#Call 2017|d7254e2c-d2ca-4a44-a03c-780450854b65</vt:lpwstr>
  </property>
  <property fmtid="{D5CDD505-2E9C-101B-9397-08002B2CF9AE}" pid="10" name="_dlc_DocIdItemGuid">
    <vt:lpwstr>42978f1d-0de6-4731-b347-08e059e17a69</vt:lpwstr>
  </property>
</Properties>
</file>